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5D" w:rsidRDefault="00A4405D" w:rsidP="00A4405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82526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82526"/>
          <w:sz w:val="22"/>
          <w:szCs w:val="22"/>
        </w:rPr>
      </w:pPr>
      <w:r w:rsidRPr="00A4405D">
        <w:rPr>
          <w:rFonts w:asciiTheme="minorHAnsi" w:hAnsiTheme="minorHAnsi" w:cs="Arial"/>
          <w:b/>
          <w:bCs/>
          <w:color w:val="282526"/>
          <w:sz w:val="22"/>
          <w:szCs w:val="22"/>
        </w:rPr>
        <w:t xml:space="preserve">RESOLUÇÃO - RDC Nº 86, DE 27 DE JUNHO DE </w:t>
      </w:r>
      <w:proofErr w:type="gramStart"/>
      <w:r w:rsidRPr="00A4405D">
        <w:rPr>
          <w:rFonts w:asciiTheme="minorHAnsi" w:hAnsiTheme="minorHAnsi" w:cs="Arial"/>
          <w:b/>
          <w:bCs/>
          <w:color w:val="282526"/>
          <w:sz w:val="22"/>
          <w:szCs w:val="22"/>
        </w:rPr>
        <w:t>2016</w:t>
      </w:r>
      <w:proofErr w:type="gramEnd"/>
    </w:p>
    <w:p w:rsidR="00A4405D" w:rsidRPr="00A4405D" w:rsidRDefault="00A4405D" w:rsidP="00A4405D">
      <w:pPr>
        <w:autoSpaceDE w:val="0"/>
        <w:autoSpaceDN w:val="0"/>
        <w:adjustRightInd w:val="0"/>
        <w:ind w:right="57"/>
        <w:rPr>
          <w:rFonts w:asciiTheme="minorHAnsi" w:hAnsiTheme="minorHAnsi" w:cs="Arial"/>
          <w:sz w:val="22"/>
          <w:szCs w:val="22"/>
        </w:rPr>
      </w:pPr>
      <w:r w:rsidRPr="00A4405D">
        <w:rPr>
          <w:rFonts w:asciiTheme="minorHAnsi" w:hAnsiTheme="minorHAnsi" w:cs="Arial"/>
          <w:sz w:val="22"/>
          <w:szCs w:val="22"/>
        </w:rPr>
        <w:t>DOU de 28/06/2016</w:t>
      </w:r>
    </w:p>
    <w:p w:rsidR="00A4405D" w:rsidRPr="00A4405D" w:rsidRDefault="00A4405D" w:rsidP="00A4405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82526"/>
          <w:sz w:val="22"/>
          <w:szCs w:val="22"/>
        </w:rPr>
      </w:pPr>
    </w:p>
    <w:p w:rsidR="00A4405D" w:rsidRPr="009F6FB0" w:rsidRDefault="00A4405D" w:rsidP="00A4405D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2E2C2D"/>
          <w:sz w:val="22"/>
          <w:szCs w:val="22"/>
        </w:rPr>
      </w:pPr>
      <w:r w:rsidRPr="009F6FB0">
        <w:rPr>
          <w:rFonts w:asciiTheme="minorHAnsi" w:hAnsiTheme="minorHAnsi" w:cs="Arial"/>
          <w:color w:val="2E2C2D"/>
          <w:sz w:val="22"/>
          <w:szCs w:val="22"/>
        </w:rPr>
        <w:t>Dispõe sobre os procedimentos para o recebimento de documentos em suporte eletrônico.</w:t>
      </w:r>
    </w:p>
    <w:p w:rsidR="00A4405D" w:rsidRPr="009F6FB0" w:rsidRDefault="00A4405D" w:rsidP="00A4405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 Diretoria Colegiada da Agência Nacional de Vigilância Sanitária, no uso da atribuição que lhe confere o art. 15, III e IV aliado ao art. 7º, III e IV da Lei n.º 9.782, de 26 de janeiro de 1999, o art. 53, V, §§ 1º e 3º do Regimento Interno aprovado nos termos do Anexo I da Resolução da Diretoria Colegiada - RDC nº 61, de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de fevereiro de 2016, 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Resolve adotar a seguinte Resolução da Diretoria Colegiada, conforme deliberado em reunião realizad</w:t>
      </w:r>
      <w:bookmarkStart w:id="0" w:name="_GoBack"/>
      <w:bookmarkEnd w:id="0"/>
      <w:r w:rsidRPr="00A4405D">
        <w:rPr>
          <w:rFonts w:asciiTheme="minorHAnsi" w:hAnsiTheme="minorHAnsi" w:cs="Arial"/>
          <w:color w:val="000000"/>
          <w:sz w:val="22"/>
          <w:szCs w:val="22"/>
        </w:rPr>
        <w:t>a em 14 de junho de 2016, e eu, Diretor-Presidente Substituto, determino a sua publicação.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1º Esta Resolução tem por objetivo definir os procedimentos e requisitos para o recebimento de documentos em suporte eletrônico pela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Art. 2º Para efeitos desta Resolução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, são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adotadas as seguintes definições: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I - agente regulado: pessoa física ou jurídica submetida ao controle e à fiscalização da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II - assinatura digital: modalidade de assinatura eletrônica, resultado de uma operação matemática que utiliza algoritmos de criptografia e permite aferir, com segurança, a origem e a integridade do documento;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III - assinatura eletrônica: geração, por computador, de qualquer símbolo ou série de símbolos executados, adotados ou autorizados por um indivíduo para ser o laço legalmente equivalente à assinatura manual do indivíduo;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IV - assinatura eletrônica anexada (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attached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>): estrutura assinada com conteúdo digital embutido no documento eletrônico;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V - autenticidade: qualidade de um documento ser o que diz ser, independentemente de se tratar de minuta, original ou cópia, livre de adulterações ou qualquer outro tipo de corrupção;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VI - autoridade certificadora: organização que emite certificados digitais obedecendo às práticas definidas na Infraestrutura de Chaves-Públicas - ICP;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VII - certificado digital: documento emitido e assinado digitalmente por uma autoridade certificadora, que contém dados que identificam seu titular e o relaciona à sua respectiva chave-pública;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VIII - chave-pública: chave matemática formada por uma sequência de dígitos, usada para criptografia assimétrica e criada em conjunto com a chave-privada correspondente, disponibilizada publicamente por certificado digital e utilizada para verificar assinaturas digitais;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IX - documento: unidade de registro de informações, qualquer que seja o formato ou o suporte;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lastRenderedPageBreak/>
        <w:t>X - formato de arquivo: especificação de regras e padrões descritos formalmente para interpretação dos bits constituintes de um arquivo digital;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XI - gestão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arquivística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de documentos: conjunto de procedimentos e operações técnicas, referentes à produção, tramitação, uso, avaliação e arquivamento de documentos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arquivísticos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em fase corrente e intermediária, visando a sua eliminação ou recolhimento para a guarda permanente;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XII - integridade: estado dos documentos que se encontram completos e que não sofreram nenhum tipo de corrupção ou alteração não autorizada nem documentada;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XIII - lista de verificação (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check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list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): lista elaborada por cada área técnica da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, contendo a relação de documentos, de caráter obrigatório, que devem instruir uma petição;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XIV - suporte: base física sobre a qual a informação é registrada;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XV - unidades organizacionais: unidades especializadas incumbidas do exercício das diferentes funções legalmente atribuídas à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3º É obrigatória a protocolização de documentos em suporte eletrônico nos casos em que 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expressamente especificar.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§ 1º Deverão ser apresentados em suporte eletrônico os assuntos de petição constantes em Instrução Normativa a ser publicada pela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§ 2º Mesmo nos casos previstos em Instrução Normativa, o formulário de petição e o comprovante de pagamento da taxa de fiscalização em vigilância sanitária devem ser apresentados em suporte papel.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§ 3º Também deverá ser entregue em suporte papel, folha de rosto com a identificação dos documentos que estão contidos em cada mídia apresentada.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§ 4º Ao microempreendedor individual, ao agricultor familiar e ao empreendedor de economia solidária, será facultado o encaminhamento da documentação na forma eletrônica ou em suporte papel.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4º É responsabilidade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do agente regulado apresentar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os documentos exigidos na lista de verificação e na legislação específica vigente, de acordo com cada assunto de petição.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5º A conferência e exigência da documentação constante da lista de verificação de cada assunto de petição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deve ser realizada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pelas unidades organizacionais competentes para a análise do processo.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6º Os documentos protocolizados em suporte eletrônico na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devem ser apresentados em CD-ROM ou DVD - ROM.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Parágrafo único. Petições diferentes devem ser entregues em mídias distintas.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Art. 7º O CD-ROM ou DVD - ROM e seu invólucro deverão conter as seguintes informações: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 - nome da empresa;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II - nome comercial do produto / substância ativa, quando aplicável;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III - número do processo (para petições secundárias);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lastRenderedPageBreak/>
        <w:t>IV - número da mídia em relação ao conjunto, quando aplicável (exemplo: 1/3, 2/3, 3/3).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8º Com a finalidade de manter a integridade física das mídias eletrônicas, estas devem ser protocolizadas na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com invólucro protetor adequado.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9º Os documentos protocolizados em suporte eletrônico na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devem atender aos seguintes requisitos: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 - formato de arquivo PDF (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Portable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Document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Format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>);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II - resolução de 300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dpi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(trezentos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dots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per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inch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>), em preto e branco;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III - tamanho máximo de 60MB (sessenta megabytes) por arquivo;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IV - os documentos da lista de verificação devem ser apresentados em um único arquivo, devendo ser partilhado somente no caso deste ultrapassar 1.000 (mil) páginas;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V - apresentação, preferencialmente, no formato A4.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§ 1º O documento PDF deverá apresentar marcadores, hiperlinks e busca de texto que facilitem a navegação.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§ 2º Na criação do PDF, deverão ser seguidas as orientações da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, publicadas por meio de manual específico no portal da Agência.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§ 3º Excepcionalmente, os documentos que precisarem ser apresentados em escala colorida devem ser entregues coloridos com a resolução de 300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dpi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(trezentos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dots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per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inch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>).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Art. 10. Com a finalidade de manter a integridade e a autenticidade dos documentos enviados em suporte eletrônico, estes devem estar assinados digitalmente por representante legalmente autorizado da empresa, com a utilização de certificados do tipo e-CNPJ ou e-CPF, emitidos por autoridades certificadoras reconhecidas pela Infraestrutura de Chaves-Públicas Brasileira - ICP/Brasil.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Parágrafo único. O tipo de assinatura a ser utilizado nos documentos em suporte eletrônico especificados nesta norma deve ser a assinatura eletrônica anexada (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attached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>).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11. O agente regulado deve observar requisitos de segurança no fornecimento dos documentos em suporte eletrônico, de modo que os arquivos estejam livres de "vírus" ou similares que possam prejudicar o funcionamento do ambiente computacional da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12. Serão devolvidas pelo Protocolo da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, via Empresa Brasileira de Correios e Telégrafos (ECT), com a indicação das correções necessárias, os documentos protocolizados que: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I - estiverem em suporte diferente do especificado pela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II - não atenderem aos padrões indicados nesta norma e no manual;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III - encontrarem-se danificados ou com leitura do arquivo prejudicada;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IV - não apresentarem conteúdo;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V - estiverem protegidos por senha;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ou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VI - nos casos em que for detectada a presença de vírus.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Parágrafo único. É facultada à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a disponibilização dos documentos para retirada pelo agente regulado em suas instalações, desde que previamente acordado com a empresa.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strike/>
          <w:color w:val="000000"/>
          <w:sz w:val="22"/>
          <w:szCs w:val="22"/>
        </w:rPr>
        <w:t>Art. 13. Fica estabelecido um período de transição de 365 (trezentos e sessenta e cinco) dias, a contar da data da publicação desta RDC, durante o qual será admitida a protocolização dos documentos descritos na Instrução Normativa em suporte eletrônico ou em papel</w:t>
      </w:r>
      <w:r w:rsidRPr="00A44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FF0000"/>
          <w:sz w:val="22"/>
          <w:szCs w:val="22"/>
        </w:rPr>
      </w:pPr>
      <w:bookmarkStart w:id="1" w:name="alteracao"/>
      <w:r w:rsidRPr="00A4405D">
        <w:rPr>
          <w:rFonts w:asciiTheme="minorHAnsi" w:hAnsiTheme="minorHAnsi" w:cs="Arial"/>
          <w:i/>
          <w:color w:val="000000"/>
          <w:sz w:val="22"/>
          <w:szCs w:val="22"/>
        </w:rPr>
        <w:t xml:space="preserve">Art. 13º Os documentos poderão ser protocolados em mídia eletrônica ou em papel, sendo necessário escolher uma das duas opções. </w:t>
      </w:r>
      <w:r w:rsidRPr="00A4405D">
        <w:rPr>
          <w:rFonts w:asciiTheme="minorHAnsi" w:hAnsiTheme="minorHAnsi" w:cs="Arial"/>
          <w:color w:val="FF0000"/>
          <w:sz w:val="22"/>
          <w:szCs w:val="22"/>
        </w:rPr>
        <w:t>(Nova redação conforme Resolução - RDC nº 162, de 14 de junho de 2017, DOU de 16/06/2017, Página 34</w:t>
      </w:r>
      <w:proofErr w:type="gramStart"/>
      <w:r w:rsidRPr="00A4405D">
        <w:rPr>
          <w:rFonts w:asciiTheme="minorHAnsi" w:hAnsiTheme="minorHAnsi" w:cs="Arial"/>
          <w:color w:val="FF0000"/>
          <w:sz w:val="22"/>
          <w:szCs w:val="22"/>
        </w:rPr>
        <w:t>)</w:t>
      </w:r>
      <w:proofErr w:type="gramEnd"/>
    </w:p>
    <w:bookmarkEnd w:id="1"/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trike/>
          <w:color w:val="000000"/>
          <w:sz w:val="22"/>
          <w:szCs w:val="22"/>
        </w:rPr>
      </w:pPr>
      <w:bookmarkStart w:id="2" w:name="cancelado"/>
      <w:r w:rsidRPr="00A4405D">
        <w:rPr>
          <w:rFonts w:asciiTheme="minorHAnsi" w:hAnsiTheme="minorHAnsi" w:cs="Arial"/>
          <w:strike/>
          <w:color w:val="000000"/>
          <w:sz w:val="22"/>
          <w:szCs w:val="22"/>
        </w:rPr>
        <w:t>§ 1º Durante o período de transição, a empresa deverá encaminhar a documentação em mídia ou em papel, sendo necessário escolher uma das duas opções.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A4405D">
        <w:rPr>
          <w:rFonts w:asciiTheme="minorHAnsi" w:hAnsiTheme="minorHAnsi" w:cs="Arial"/>
          <w:strike/>
          <w:color w:val="000000"/>
          <w:sz w:val="22"/>
          <w:szCs w:val="22"/>
        </w:rPr>
        <w:t>§ 2º Após o período de transição, será obrigatória a apresentação em suporte eletrônico.</w:t>
      </w:r>
      <w:r w:rsidRPr="00A4405D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A4405D">
        <w:rPr>
          <w:rFonts w:asciiTheme="minorHAnsi" w:hAnsiTheme="minorHAnsi" w:cs="Arial"/>
          <w:color w:val="FF0000"/>
          <w:sz w:val="22"/>
          <w:szCs w:val="22"/>
        </w:rPr>
        <w:t>(Cancelado pela Resolução - RDC nº 162, de 14 de junho de 2017, DOU de 16/06/2017, Página 34</w:t>
      </w:r>
      <w:proofErr w:type="gramStart"/>
      <w:r w:rsidRPr="00A4405D">
        <w:rPr>
          <w:rFonts w:asciiTheme="minorHAnsi" w:hAnsiTheme="minorHAnsi" w:cs="Arial"/>
          <w:color w:val="FF0000"/>
          <w:sz w:val="22"/>
          <w:szCs w:val="22"/>
        </w:rPr>
        <w:t>)</w:t>
      </w:r>
      <w:proofErr w:type="gramEnd"/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trike/>
          <w:color w:val="000000"/>
          <w:sz w:val="22"/>
          <w:szCs w:val="22"/>
        </w:rPr>
      </w:pPr>
    </w:p>
    <w:bookmarkEnd w:id="2"/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§ 3º 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poderá autorizar, temporariamente e mediante comunicação prévia no site da Agência, a entrega de documentos em suporte papel.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Art. 14. Os casos omissos pertinentes a esta norma serão resolvidos pela área responsável pela gestão documental.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Art. 15. Esta norma entrará em vigor 30 (trinta) dias após a data da publicação.</w:t>
      </w:r>
    </w:p>
    <w:p w:rsidR="00A4405D" w:rsidRPr="00A4405D" w:rsidRDefault="00A4405D" w:rsidP="00A4405D">
      <w:pPr>
        <w:rPr>
          <w:rFonts w:asciiTheme="minorHAnsi" w:hAnsiTheme="minorHAnsi" w:cs="Arial"/>
          <w:color w:val="343334"/>
          <w:sz w:val="22"/>
          <w:szCs w:val="22"/>
        </w:rPr>
      </w:pPr>
    </w:p>
    <w:p w:rsidR="00A4405D" w:rsidRPr="00A4405D" w:rsidRDefault="00A4405D" w:rsidP="00A4405D">
      <w:pPr>
        <w:jc w:val="right"/>
        <w:rPr>
          <w:rFonts w:asciiTheme="minorHAnsi" w:hAnsiTheme="minorHAnsi" w:cs="Arial"/>
          <w:sz w:val="22"/>
          <w:szCs w:val="22"/>
        </w:rPr>
      </w:pPr>
      <w:r w:rsidRPr="00A4405D">
        <w:rPr>
          <w:rFonts w:asciiTheme="minorHAnsi" w:hAnsiTheme="minorHAnsi" w:cs="Arial"/>
          <w:color w:val="343334"/>
          <w:sz w:val="22"/>
          <w:szCs w:val="22"/>
        </w:rPr>
        <w:t xml:space="preserve">JOSÉ CARLOS MAGALHÃES DA SILVA MOUTINHO </w:t>
      </w:r>
    </w:p>
    <w:p w:rsidR="00F965FD" w:rsidRDefault="00F965FD" w:rsidP="006A6499">
      <w:pPr>
        <w:jc w:val="both"/>
        <w:rPr>
          <w:rFonts w:asciiTheme="minorHAnsi" w:hAnsiTheme="minorHAnsi" w:cs="Arial"/>
          <w:sz w:val="22"/>
          <w:szCs w:val="22"/>
        </w:rPr>
      </w:pPr>
    </w:p>
    <w:sectPr w:rsidR="00F965FD" w:rsidSect="00A56AA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D4" w:rsidRDefault="00781AD4" w:rsidP="00AE52E7">
      <w:r>
        <w:separator/>
      </w:r>
    </w:p>
  </w:endnote>
  <w:endnote w:type="continuationSeparator" w:id="0">
    <w:p w:rsidR="00781AD4" w:rsidRDefault="00781AD4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D4" w:rsidRDefault="00A4405D">
    <w:pPr>
      <w:pStyle w:val="Rodap"/>
    </w:pPr>
    <w:r>
      <w:rPr>
        <w:noProof/>
        <w:lang w:eastAsia="pt-BR"/>
      </w:rPr>
      <w:drawing>
        <wp:inline distT="0" distB="0" distL="0" distR="0">
          <wp:extent cx="5400040" cy="40068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-rodape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>)3897-9779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 xml:space="preserve">           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Rua Alvorada, 1.280 - Vila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Olímpia</w:t>
    </w:r>
    <w:proofErr w:type="gramEnd"/>
  </w:p>
  <w:p w:rsidR="00781AD4" w:rsidRPr="00AE52E7" w:rsidRDefault="00781AD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br                            </w:t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ab/>
      <w:t xml:space="preserve">           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São Paulo/SP - CEP 04550-004</w:t>
    </w:r>
  </w:p>
  <w:p w:rsidR="00781AD4" w:rsidRDefault="00781AD4">
    <w:pPr>
      <w:pStyle w:val="Rodap"/>
    </w:pPr>
  </w:p>
  <w:p w:rsidR="00781AD4" w:rsidRDefault="00781A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D4" w:rsidRDefault="00781AD4" w:rsidP="00AE52E7">
      <w:r>
        <w:separator/>
      </w:r>
    </w:p>
  </w:footnote>
  <w:footnote w:type="continuationSeparator" w:id="0">
    <w:p w:rsidR="00781AD4" w:rsidRDefault="00781AD4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D4" w:rsidRDefault="00781AD4">
    <w:pPr>
      <w:pStyle w:val="Cabealho"/>
    </w:pPr>
    <w:r>
      <w:rPr>
        <w:noProof/>
        <w:lang w:eastAsia="pt-BR"/>
      </w:rPr>
      <w:drawing>
        <wp:inline distT="0" distB="0" distL="0" distR="0" wp14:anchorId="1C1CAFA9" wp14:editId="138BA078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0</w:t>
    </w:r>
    <w:r w:rsidR="00A4405D">
      <w:rPr>
        <w:rStyle w:val="Forte"/>
        <w:rFonts w:ascii="Calibri" w:hAnsi="Calibri"/>
        <w:color w:val="000000"/>
        <w:sz w:val="16"/>
        <w:szCs w:val="16"/>
      </w:rPr>
      <w:t>77</w:t>
    </w:r>
    <w:r>
      <w:rPr>
        <w:rStyle w:val="Forte"/>
        <w:rFonts w:ascii="Calibri" w:hAnsi="Calibri"/>
        <w:color w:val="000000"/>
        <w:sz w:val="16"/>
        <w:szCs w:val="16"/>
      </w:rPr>
      <w:t xml:space="preserve">.2017 | São Paulo, </w:t>
    </w:r>
    <w:r w:rsidR="00A4405D">
      <w:rPr>
        <w:rStyle w:val="Forte"/>
        <w:rFonts w:ascii="Calibri" w:hAnsi="Calibri"/>
        <w:color w:val="000000"/>
        <w:sz w:val="16"/>
        <w:szCs w:val="16"/>
      </w:rPr>
      <w:t>16</w:t>
    </w:r>
    <w:r w:rsidR="00F97F93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0D588F">
      <w:rPr>
        <w:rStyle w:val="Forte"/>
        <w:rFonts w:ascii="Calibri" w:hAnsi="Calibri"/>
        <w:color w:val="000000"/>
        <w:sz w:val="16"/>
        <w:szCs w:val="16"/>
      </w:rPr>
      <w:t>de junho</w:t>
    </w:r>
    <w:r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24F03DDE" wp14:editId="2F822AB7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971F9"/>
    <w:rsid w:val="000A18B4"/>
    <w:rsid w:val="000A408B"/>
    <w:rsid w:val="000A5CE2"/>
    <w:rsid w:val="000A75A2"/>
    <w:rsid w:val="000B134F"/>
    <w:rsid w:val="000B2087"/>
    <w:rsid w:val="000C1B25"/>
    <w:rsid w:val="000C1C63"/>
    <w:rsid w:val="000C5BC7"/>
    <w:rsid w:val="000D588F"/>
    <w:rsid w:val="000F7715"/>
    <w:rsid w:val="000F7CC8"/>
    <w:rsid w:val="00110B21"/>
    <w:rsid w:val="00136263"/>
    <w:rsid w:val="00136A83"/>
    <w:rsid w:val="00146BB2"/>
    <w:rsid w:val="001718CE"/>
    <w:rsid w:val="001778A6"/>
    <w:rsid w:val="00183C28"/>
    <w:rsid w:val="00185E2F"/>
    <w:rsid w:val="001A153E"/>
    <w:rsid w:val="001B4EFA"/>
    <w:rsid w:val="001C1024"/>
    <w:rsid w:val="001F1556"/>
    <w:rsid w:val="0021365C"/>
    <w:rsid w:val="00215D2B"/>
    <w:rsid w:val="002274C0"/>
    <w:rsid w:val="002337BB"/>
    <w:rsid w:val="00235209"/>
    <w:rsid w:val="00236EAF"/>
    <w:rsid w:val="002772CE"/>
    <w:rsid w:val="0028793A"/>
    <w:rsid w:val="002A5B57"/>
    <w:rsid w:val="002F5FD9"/>
    <w:rsid w:val="00301680"/>
    <w:rsid w:val="003355EF"/>
    <w:rsid w:val="00346774"/>
    <w:rsid w:val="00353BC1"/>
    <w:rsid w:val="0036549B"/>
    <w:rsid w:val="003708AD"/>
    <w:rsid w:val="00391D18"/>
    <w:rsid w:val="003A0684"/>
    <w:rsid w:val="003A3060"/>
    <w:rsid w:val="003A7803"/>
    <w:rsid w:val="003C4071"/>
    <w:rsid w:val="003D7A6C"/>
    <w:rsid w:val="003E1BC5"/>
    <w:rsid w:val="003E416B"/>
    <w:rsid w:val="003F1499"/>
    <w:rsid w:val="003F6AB4"/>
    <w:rsid w:val="0040409D"/>
    <w:rsid w:val="00417144"/>
    <w:rsid w:val="00422374"/>
    <w:rsid w:val="00427E66"/>
    <w:rsid w:val="00442C79"/>
    <w:rsid w:val="00450CB4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D6C76"/>
    <w:rsid w:val="004E39FD"/>
    <w:rsid w:val="004F0812"/>
    <w:rsid w:val="0051020D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80306"/>
    <w:rsid w:val="006A6499"/>
    <w:rsid w:val="006A7046"/>
    <w:rsid w:val="006B5A70"/>
    <w:rsid w:val="006C541D"/>
    <w:rsid w:val="006C63EB"/>
    <w:rsid w:val="006D15B0"/>
    <w:rsid w:val="006D716B"/>
    <w:rsid w:val="006E07B8"/>
    <w:rsid w:val="006E53FB"/>
    <w:rsid w:val="006F4BEA"/>
    <w:rsid w:val="006F53CF"/>
    <w:rsid w:val="006F790E"/>
    <w:rsid w:val="00704E17"/>
    <w:rsid w:val="00717704"/>
    <w:rsid w:val="00730F5D"/>
    <w:rsid w:val="007414CC"/>
    <w:rsid w:val="00774EF5"/>
    <w:rsid w:val="007775AC"/>
    <w:rsid w:val="00777F35"/>
    <w:rsid w:val="00781AD4"/>
    <w:rsid w:val="00792FEA"/>
    <w:rsid w:val="00797D6B"/>
    <w:rsid w:val="007A253B"/>
    <w:rsid w:val="007A32DC"/>
    <w:rsid w:val="007A50C3"/>
    <w:rsid w:val="007B3E73"/>
    <w:rsid w:val="007B41D1"/>
    <w:rsid w:val="007B7A34"/>
    <w:rsid w:val="007C1841"/>
    <w:rsid w:val="007C29C1"/>
    <w:rsid w:val="007D40CD"/>
    <w:rsid w:val="007E43D1"/>
    <w:rsid w:val="007F4090"/>
    <w:rsid w:val="00823F84"/>
    <w:rsid w:val="0084276D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D6D"/>
    <w:rsid w:val="00893EE0"/>
    <w:rsid w:val="008A5698"/>
    <w:rsid w:val="008B294F"/>
    <w:rsid w:val="008B2E62"/>
    <w:rsid w:val="008C3AEA"/>
    <w:rsid w:val="008C40F8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51745"/>
    <w:rsid w:val="00961D02"/>
    <w:rsid w:val="00974838"/>
    <w:rsid w:val="0098286A"/>
    <w:rsid w:val="0099304C"/>
    <w:rsid w:val="00995024"/>
    <w:rsid w:val="0099601F"/>
    <w:rsid w:val="009C61A7"/>
    <w:rsid w:val="009D0FA1"/>
    <w:rsid w:val="009F6FB0"/>
    <w:rsid w:val="00A12661"/>
    <w:rsid w:val="00A1285F"/>
    <w:rsid w:val="00A371DD"/>
    <w:rsid w:val="00A4029B"/>
    <w:rsid w:val="00A4405D"/>
    <w:rsid w:val="00A50BC4"/>
    <w:rsid w:val="00A56AA2"/>
    <w:rsid w:val="00A64462"/>
    <w:rsid w:val="00A65789"/>
    <w:rsid w:val="00A65CCA"/>
    <w:rsid w:val="00A90CDA"/>
    <w:rsid w:val="00A95942"/>
    <w:rsid w:val="00AB5FA5"/>
    <w:rsid w:val="00AC3932"/>
    <w:rsid w:val="00AC79CB"/>
    <w:rsid w:val="00AE0006"/>
    <w:rsid w:val="00AE1C67"/>
    <w:rsid w:val="00AE52E7"/>
    <w:rsid w:val="00AF15A8"/>
    <w:rsid w:val="00B02148"/>
    <w:rsid w:val="00B02E6A"/>
    <w:rsid w:val="00B05AD8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67654"/>
    <w:rsid w:val="00C75F04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51DC"/>
    <w:rsid w:val="00D226BC"/>
    <w:rsid w:val="00D30121"/>
    <w:rsid w:val="00D56F92"/>
    <w:rsid w:val="00D6276F"/>
    <w:rsid w:val="00D75975"/>
    <w:rsid w:val="00D84A1E"/>
    <w:rsid w:val="00DA0B19"/>
    <w:rsid w:val="00DA35D1"/>
    <w:rsid w:val="00DB08C4"/>
    <w:rsid w:val="00DD141B"/>
    <w:rsid w:val="00DE2781"/>
    <w:rsid w:val="00E00D14"/>
    <w:rsid w:val="00E2576B"/>
    <w:rsid w:val="00E2616F"/>
    <w:rsid w:val="00E47A26"/>
    <w:rsid w:val="00E5099F"/>
    <w:rsid w:val="00E52C17"/>
    <w:rsid w:val="00E57633"/>
    <w:rsid w:val="00EA5C1F"/>
    <w:rsid w:val="00EB4965"/>
    <w:rsid w:val="00EC6A5B"/>
    <w:rsid w:val="00ED6073"/>
    <w:rsid w:val="00ED6606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37F7"/>
    <w:rsid w:val="00F64C98"/>
    <w:rsid w:val="00F71CB9"/>
    <w:rsid w:val="00F910CA"/>
    <w:rsid w:val="00F965FD"/>
    <w:rsid w:val="00F97F93"/>
    <w:rsid w:val="00FB0C44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764B-3B5C-4D54-BB4A-16C1490A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juliacosta</cp:lastModifiedBy>
  <cp:revision>4</cp:revision>
  <cp:lastPrinted>2014-10-14T12:46:00Z</cp:lastPrinted>
  <dcterms:created xsi:type="dcterms:W3CDTF">2017-06-20T12:13:00Z</dcterms:created>
  <dcterms:modified xsi:type="dcterms:W3CDTF">2017-06-20T12:16:00Z</dcterms:modified>
</cp:coreProperties>
</file>