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C5" w:rsidRDefault="00F922C5" w:rsidP="00F922C5">
      <w:pPr>
        <w:autoSpaceDE w:val="0"/>
        <w:autoSpaceDN w:val="0"/>
        <w:adjustRightInd w:val="0"/>
        <w:rPr>
          <w:rFonts w:asciiTheme="minorHAnsi" w:hAnsiTheme="minorHAnsi" w:cs="Arial"/>
          <w:b/>
          <w:bCs/>
          <w:color w:val="282526"/>
          <w:sz w:val="22"/>
          <w:szCs w:val="22"/>
        </w:rPr>
      </w:pPr>
    </w:p>
    <w:p w:rsidR="00083A70" w:rsidRDefault="00083A70" w:rsidP="00083A70">
      <w:pPr>
        <w:autoSpaceDE w:val="0"/>
        <w:autoSpaceDN w:val="0"/>
        <w:adjustRightInd w:val="0"/>
        <w:rPr>
          <w:rFonts w:ascii="Arial" w:hAnsi="Arial" w:cs="Arial"/>
          <w:b/>
          <w:bCs/>
          <w:color w:val="282526"/>
          <w:sz w:val="20"/>
          <w:szCs w:val="20"/>
        </w:rPr>
      </w:pPr>
      <w:r>
        <w:rPr>
          <w:rFonts w:ascii="Arial" w:hAnsi="Arial" w:cs="Arial"/>
          <w:b/>
          <w:bCs/>
          <w:color w:val="282526"/>
          <w:sz w:val="20"/>
          <w:szCs w:val="20"/>
        </w:rPr>
        <w:t>R</w:t>
      </w:r>
      <w:r w:rsidR="00D50246">
        <w:rPr>
          <w:rFonts w:ascii="Arial" w:hAnsi="Arial" w:cs="Arial"/>
          <w:b/>
          <w:bCs/>
          <w:color w:val="282526"/>
          <w:sz w:val="20"/>
          <w:szCs w:val="20"/>
        </w:rPr>
        <w:t xml:space="preserve">esolução da Diretoria Colegiada </w:t>
      </w:r>
      <w:r>
        <w:rPr>
          <w:rFonts w:ascii="Arial" w:hAnsi="Arial" w:cs="Arial"/>
          <w:b/>
          <w:bCs/>
          <w:color w:val="282526"/>
          <w:sz w:val="20"/>
          <w:szCs w:val="20"/>
        </w:rPr>
        <w:t xml:space="preserve">- RDC Nº 53, </w:t>
      </w:r>
      <w:r w:rsidR="00D50246">
        <w:rPr>
          <w:rFonts w:ascii="Arial" w:hAnsi="Arial" w:cs="Arial"/>
          <w:b/>
          <w:bCs/>
          <w:color w:val="282526"/>
          <w:sz w:val="20"/>
          <w:szCs w:val="20"/>
        </w:rPr>
        <w:t>de 0</w:t>
      </w:r>
      <w:r>
        <w:rPr>
          <w:rFonts w:ascii="Arial" w:hAnsi="Arial" w:cs="Arial"/>
          <w:b/>
          <w:bCs/>
          <w:color w:val="282526"/>
          <w:sz w:val="20"/>
          <w:szCs w:val="20"/>
        </w:rPr>
        <w:t>4</w:t>
      </w:r>
      <w:r w:rsidR="00D50246">
        <w:rPr>
          <w:rFonts w:ascii="Arial" w:hAnsi="Arial" w:cs="Arial"/>
          <w:b/>
          <w:bCs/>
          <w:color w:val="282526"/>
          <w:sz w:val="20"/>
          <w:szCs w:val="20"/>
        </w:rPr>
        <w:t>/12/</w:t>
      </w:r>
      <w:r>
        <w:rPr>
          <w:rFonts w:ascii="Arial" w:hAnsi="Arial" w:cs="Arial"/>
          <w:b/>
          <w:bCs/>
          <w:color w:val="282526"/>
          <w:sz w:val="20"/>
          <w:szCs w:val="20"/>
        </w:rPr>
        <w:t>2015 (*)</w:t>
      </w:r>
    </w:p>
    <w:p w:rsidR="00083A70" w:rsidRDefault="00083A70" w:rsidP="00083A70">
      <w:pPr>
        <w:autoSpaceDE w:val="0"/>
        <w:autoSpaceDN w:val="0"/>
        <w:adjustRightInd w:val="0"/>
        <w:ind w:right="57"/>
        <w:rPr>
          <w:rFonts w:ascii="Arial" w:hAnsi="Arial" w:cs="Arial"/>
          <w:b/>
          <w:sz w:val="20"/>
          <w:szCs w:val="20"/>
        </w:rPr>
      </w:pPr>
      <w:r w:rsidRPr="00083A70">
        <w:rPr>
          <w:rFonts w:ascii="Arial" w:hAnsi="Arial" w:cs="Arial"/>
          <w:b/>
          <w:sz w:val="20"/>
          <w:szCs w:val="20"/>
        </w:rPr>
        <w:t>DOU 08/12/2015</w:t>
      </w:r>
    </w:p>
    <w:p w:rsidR="00083A70" w:rsidRPr="00D50246" w:rsidRDefault="00083A70" w:rsidP="00083A70">
      <w:pPr>
        <w:autoSpaceDE w:val="0"/>
        <w:autoSpaceDN w:val="0"/>
        <w:adjustRightInd w:val="0"/>
        <w:ind w:right="57"/>
        <w:rPr>
          <w:rFonts w:ascii="Arial" w:hAnsi="Arial" w:cs="Arial"/>
          <w:b/>
          <w:color w:val="FF0000"/>
          <w:sz w:val="20"/>
          <w:szCs w:val="20"/>
          <w:lang w:eastAsia="en-US"/>
        </w:rPr>
      </w:pPr>
      <w:r w:rsidRPr="00D50246">
        <w:rPr>
          <w:rFonts w:ascii="Arial" w:hAnsi="Arial" w:cs="Arial"/>
          <w:b/>
          <w:color w:val="FF0000"/>
          <w:sz w:val="20"/>
          <w:szCs w:val="20"/>
        </w:rPr>
        <w:t>Alterada pela RDC nº 171/2017 (DOU 24/08/2017)</w:t>
      </w:r>
    </w:p>
    <w:p w:rsidR="00083A70" w:rsidRDefault="00083A70" w:rsidP="00083A70">
      <w:pPr>
        <w:autoSpaceDE w:val="0"/>
        <w:autoSpaceDN w:val="0"/>
        <w:adjustRightInd w:val="0"/>
        <w:rPr>
          <w:rFonts w:ascii="Arial" w:hAnsi="Arial" w:cs="Arial"/>
          <w:b/>
          <w:bCs/>
          <w:color w:val="282526"/>
          <w:sz w:val="20"/>
          <w:szCs w:val="20"/>
        </w:rPr>
      </w:pPr>
    </w:p>
    <w:p w:rsidR="00083A70" w:rsidRDefault="00083A70" w:rsidP="00D50246">
      <w:pPr>
        <w:autoSpaceDE w:val="0"/>
        <w:autoSpaceDN w:val="0"/>
        <w:adjustRightInd w:val="0"/>
        <w:jc w:val="both"/>
        <w:rPr>
          <w:rFonts w:ascii="Arial" w:hAnsi="Arial" w:cs="Arial"/>
          <w:i/>
          <w:color w:val="2E2C2D"/>
          <w:sz w:val="20"/>
          <w:szCs w:val="20"/>
        </w:rPr>
      </w:pPr>
      <w:r>
        <w:rPr>
          <w:rFonts w:ascii="Arial" w:hAnsi="Arial" w:cs="Arial"/>
          <w:i/>
          <w:color w:val="2E2C2D"/>
          <w:sz w:val="20"/>
          <w:szCs w:val="20"/>
        </w:rPr>
        <w:t>Estabelece parâmetros para a notificação, identificação e qualificação de produtos de degradação em medicamentos com substâncias ativas sintéticas e semissintéticas, classificados como novos, genéricos e similares, e dá outras providências.</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A Diretoria Colegiada da Agência Nacional de Vigilância Sanitária, no uso da atribuição que lhe conferem os incisos III e IV, do art. 15, da Lei nº 9.782, de 26 de janeiro de 1999, o inciso V e §§ 1º e 3º do art. 58 do Regimento Interno aprovado nos termos do Anexo I Resolução da Diretoria Colegiada - RDC nº 29, de 21 de julho de 2015, publicada no </w:t>
      </w:r>
      <w:proofErr w:type="gramStart"/>
      <w:r>
        <w:rPr>
          <w:rFonts w:ascii="Arial" w:hAnsi="Arial" w:cs="Arial"/>
          <w:color w:val="000000"/>
          <w:sz w:val="20"/>
          <w:szCs w:val="20"/>
        </w:rPr>
        <w:t>D.O.</w:t>
      </w:r>
      <w:proofErr w:type="gramEnd"/>
      <w:r>
        <w:rPr>
          <w:rFonts w:ascii="Arial" w:hAnsi="Arial" w:cs="Arial"/>
          <w:color w:val="000000"/>
          <w:sz w:val="20"/>
          <w:szCs w:val="20"/>
        </w:rPr>
        <w:t xml:space="preserve">U de 23 de julho de 2015, tendo em vista o disposto nos incisos III, do art. 2º, III e IV, do art. 7º da Lei nº 9.782, de 1999, e o Programa de Melhoria do Processo de Regulamentação da Agência, instituído por Portaria nº 422, de 16 de abril de 2008, em reunião realizada em 19 e 20 de novembro de 2015, </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Adota a seguinte Resolução da Diretoria Colegiada e eu, Diretor- Presidente, determino a sua publicação:</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1º Fica aprovada a presente Resolução para regulamentação da notificação, identificação e qualificação de produtos de degradação em medicamentos.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Parágrafo único. Esta Resolução estabelece parâmetros para a verificação de produtos de degradação em medicamentos, para elaboração do perfil de degradação correspondente e para a notificação, identificação e qualificação dos produtos de degradação formados ao longo do prazo de validade do medicamento.</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2º O disposto nesta Resolução se aplica aos medicamentos com substâncias ativas sintéticas e semissintéticas, classificados como novos, genéricos e similares.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 1º Esta Resolução não se aplica aos produtos biológicos/biotecnológicos, excipientes, peptídeos, </w:t>
      </w:r>
      <w:proofErr w:type="spellStart"/>
      <w:r>
        <w:rPr>
          <w:rFonts w:ascii="Arial" w:hAnsi="Arial" w:cs="Arial"/>
          <w:color w:val="000000"/>
          <w:sz w:val="20"/>
          <w:szCs w:val="20"/>
        </w:rPr>
        <w:t>oligonucleotídeos</w:t>
      </w:r>
      <w:proofErr w:type="spellEnd"/>
      <w:r>
        <w:rPr>
          <w:rFonts w:ascii="Arial" w:hAnsi="Arial" w:cs="Arial"/>
          <w:color w:val="000000"/>
          <w:sz w:val="20"/>
          <w:szCs w:val="20"/>
        </w:rPr>
        <w:t xml:space="preserve">, </w:t>
      </w:r>
      <w:proofErr w:type="spellStart"/>
      <w:r>
        <w:rPr>
          <w:rFonts w:ascii="Arial" w:hAnsi="Arial" w:cs="Arial"/>
          <w:color w:val="000000"/>
          <w:sz w:val="20"/>
          <w:szCs w:val="20"/>
        </w:rPr>
        <w:t>radiofármacos</w:t>
      </w:r>
      <w:proofErr w:type="spellEnd"/>
      <w:r>
        <w:rPr>
          <w:rFonts w:ascii="Arial" w:hAnsi="Arial" w:cs="Arial"/>
          <w:color w:val="000000"/>
          <w:sz w:val="20"/>
          <w:szCs w:val="20"/>
        </w:rPr>
        <w:t xml:space="preserve">, produtos de fermentação e derivados, produtos fitoterápicos, produtos brutos de origem animal, medicamentos específicos, medicamentos à base de vitaminas e/ou minerais associados entre si ou isolados, </w:t>
      </w:r>
      <w:proofErr w:type="spellStart"/>
      <w:r>
        <w:rPr>
          <w:rFonts w:ascii="Arial" w:hAnsi="Arial" w:cs="Arial"/>
          <w:color w:val="000000"/>
          <w:sz w:val="20"/>
          <w:szCs w:val="20"/>
        </w:rPr>
        <w:t>poliaminoácidos</w:t>
      </w:r>
      <w:proofErr w:type="spellEnd"/>
      <w:r>
        <w:rPr>
          <w:rFonts w:ascii="Arial" w:hAnsi="Arial" w:cs="Arial"/>
          <w:color w:val="000000"/>
          <w:sz w:val="20"/>
          <w:szCs w:val="20"/>
        </w:rPr>
        <w:t>, os de notificação simplificada, bem como aos produtos usados nas etapas de desenvolvimento de estudos clínicos.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2º Para fins de controle de produtos de degradação dos produtos especificados no §1º, deverão ser adotados testes específicos, quando existentes. Diante da inexistência de testes específicos, deve ser garantido o controle daqueles produtos de degradação que apresentem relevante toxicidade ou que gerem ineficácia terapêutica.</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3º Para efeito desta Resolução são adotadas as seguintes definições: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I - estudo de degradação forçada: estudo que permite a geração de produtos de degradação através da exposição do insumo farmacêutico ativo e produto acabado a condições de estresse, como por exemplo, luz, temperatura, calor, umidade, hidrólise ácida/básica e oxidação, entre outras. Este estudo permite o desenvolvimento de métodos </w:t>
      </w:r>
      <w:r>
        <w:rPr>
          <w:rFonts w:ascii="Arial" w:hAnsi="Arial" w:cs="Arial"/>
          <w:color w:val="000000"/>
          <w:sz w:val="20"/>
          <w:szCs w:val="20"/>
        </w:rPr>
        <w:lastRenderedPageBreak/>
        <w:t>indicativos de estabilidade com especificidade e seletividade adequada, bem como fornecer informações acerca das possíveis rotas de degradação de um determinado produto;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II - impureza: qualquer componente presente no insumo farmacêutico ou no produto terminado que não seja o insumo farmacêutico ativo nem o(s) excipiente(s).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III - limite de identificação: valor acima do qual um produto de degradação deverá ter sua estrutura química identificada;</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IV - limite de notificação: valor acima do qual um produto de degradação deverá ser reportado no(s) estudo(s) de estabilidade;</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V - limite de qualificação: valor acima do qual um produto de degradação deverá ser qualificado;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VI - perfil de degradação: descrição dos resultados e das atividades analíticas utilizadas na detecção, identificação, elucidação estrutural e determinação quantitativa dos produtos de degradação presentes no insumo farmacêutico ativo e no medicamento;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VII - pureza cromatográfica do pico do insumo farmacêutico ativo: comprovação de que não há interferência de excipientes, impurezas e produtos de degradação no pico cromatográfico do insumo farmacêutico ativo;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VIII - produtos de degradação: impurezas resultantes de alterações químicas que surgem durante a fabricação ou armazenamento do medicamento; e </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IX - qualificação de produtos de degradação: Avaliação da segurança biológica de um produto de degradação individual ou de um dado perfil de degradação em um nível especificado.</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4º O estudo do perfil de degradação forçada deve obedecer aos seguintes requisitos: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I - condução do estudo em um lote, em escala laboratorial, piloto ou industrial do medicamento; e </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II - para fins de comparação a execução do estudo deve ser feita também com a formulação, com o placebo e no insumo(s) farmacêutico(s) ativo(s) isolado(s) e associado(s) no caso de associações em dose fixa.</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1° O estudo do perfil de degradação forçada deve ser realizado em todas as concentrações do medicamento.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2° No caso das associações em dose fixa, deverão ser executados também os estudos de degradação forçada com os insumos farmacêuticos ativos isolados, associados e na formulação.</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5º A empresa deverá apresentar estudos submetendo a amostra às seguintes condições de degradação forçada:</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 - aquecimento;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II - umidade;</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III - solução ácida;</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IV - solução básica;</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V - solução oxidante;</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VI - exposição </w:t>
      </w:r>
      <w:proofErr w:type="spellStart"/>
      <w:r>
        <w:rPr>
          <w:rFonts w:ascii="Arial" w:hAnsi="Arial" w:cs="Arial"/>
          <w:color w:val="000000"/>
          <w:sz w:val="20"/>
          <w:szCs w:val="20"/>
        </w:rPr>
        <w:t>fotolítica</w:t>
      </w:r>
      <w:proofErr w:type="spellEnd"/>
      <w:r>
        <w:rPr>
          <w:rFonts w:ascii="Arial" w:hAnsi="Arial" w:cs="Arial"/>
          <w:color w:val="000000"/>
          <w:sz w:val="20"/>
          <w:szCs w:val="20"/>
        </w:rPr>
        <w:t xml:space="preserve">; e </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VII - íons metálicos.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Parágrafo único. Caso as condições acima não possam ser empregadas devido às características inerentes à amostra ou não sejam aplicáveis, deve-se justificar tecnicamente a não utilização de qualquer uma dessas condições.</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Art.6° Os estudos de degradação forçada devem promover degradação em extensão suficiente a fim de permitir avaliação da formação de produtos de degradação.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1º Os testes devem promover uma degradação superior a 10% (dez por cento) e inferior àquela que levaria à degradação completa da amostra, comprometendo o teste.</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lastRenderedPageBreak/>
        <w:t>§ 2º Nos testes em que a degradação for inferior a 10% (dez por cento), a empresa deve apresentar justificativa técnica fundamentada.</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3º Os resultados dos ensaios servirão de suporte para o desenvolvimento e validação da metodologia de análise do(s) produto(s) de degradação formado(s) e para a análise crítica do perfil de degradação do medicamento.</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7º A análise crítica do perfil de degradação deve contemplar:</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I - verificação da pureza cromatográfica do pico do insumo farmacêutico ativo no medicamento; e </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II - avaliação dos fatores que podem interferir de alguma forma na estabilidade do medicamento.</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8° Os testes e os respectivos resultados dos ensaios de degradação forçada deverão ser refeitos e reapresentados quando forem solicitadas:</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I - alterações ou inclusões na rota de síntese do insumo farmacêutico ativo; ou </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II - mudanças quantitativas e qualitativas de excipiente na composição do produto acabado.</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1º Na existência de mais de um fabricante do insumo farmacêutico ativo, os resultados de degradação forçada deverão ser avaliados para cada fabricante.</w:t>
      </w: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2º Nos casos de mudanças quantitativas de excipiente, poderá ser enviado o estudo do perfil de degradação e justificativa técnica com racional para uso do estudo de degradação forçada já realizado com a formulação antiga, sem necessidade de realização de um novo estudo de degradação forçada. A justificativa técnica deve demonstrar a impossibilidade de formação de novos produtos de degradação.</w:t>
      </w:r>
    </w:p>
    <w:p w:rsidR="00083A70" w:rsidRDefault="00083A70" w:rsidP="00083A70">
      <w:pPr>
        <w:ind w:firstLine="567"/>
        <w:jc w:val="both"/>
        <w:rPr>
          <w:rFonts w:ascii="Arial" w:hAnsi="Arial" w:cs="Arial"/>
          <w:color w:val="000000"/>
          <w:sz w:val="20"/>
          <w:szCs w:val="20"/>
        </w:rPr>
      </w:pPr>
    </w:p>
    <w:p w:rsidR="00083A70" w:rsidRDefault="00083A70" w:rsidP="00083A70">
      <w:pPr>
        <w:ind w:firstLine="567"/>
        <w:jc w:val="both"/>
        <w:rPr>
          <w:rFonts w:ascii="Arial" w:hAnsi="Arial" w:cs="Arial"/>
          <w:color w:val="000000"/>
          <w:sz w:val="20"/>
          <w:szCs w:val="20"/>
        </w:rPr>
      </w:pPr>
      <w:r>
        <w:rPr>
          <w:rFonts w:ascii="Arial" w:hAnsi="Arial" w:cs="Arial"/>
          <w:color w:val="000000"/>
          <w:sz w:val="20"/>
          <w:szCs w:val="20"/>
        </w:rPr>
        <w:t>Art. 9° A necessidade de notificação, identificação e qualificação do(s) produto(s) de degradação no decorrer do estudo de estabilidade do medicamento deverá ser avaliada com base nas informações contidas na tabela abaixo:</w:t>
      </w:r>
    </w:p>
    <w:p w:rsidR="00083A70" w:rsidRDefault="00083A70" w:rsidP="00083A70">
      <w:pPr>
        <w:ind w:firstLine="567"/>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1"/>
        <w:gridCol w:w="3793"/>
      </w:tblGrid>
      <w:tr w:rsidR="00083A70">
        <w:trPr>
          <w:trHeight w:val="158"/>
        </w:trPr>
        <w:tc>
          <w:tcPr>
            <w:tcW w:w="1362" w:type="pct"/>
            <w:tcBorders>
              <w:top w:val="single" w:sz="4" w:space="0" w:color="auto"/>
              <w:left w:val="single" w:sz="4" w:space="0" w:color="auto"/>
              <w:bottom w:val="single" w:sz="4" w:space="0" w:color="auto"/>
              <w:right w:val="single" w:sz="4" w:space="0" w:color="auto"/>
            </w:tcBorders>
            <w:vAlign w:val="center"/>
          </w:tcPr>
          <w:p w:rsidR="00083A70" w:rsidRDefault="00083A70">
            <w:pPr>
              <w:pStyle w:val="Default"/>
              <w:jc w:val="center"/>
              <w:rPr>
                <w:color w:val="auto"/>
                <w:sz w:val="20"/>
                <w:szCs w:val="20"/>
                <w:lang w:eastAsia="pt-BR"/>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Dose Máxima Diária 1</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Limites 2</w:t>
            </w:r>
          </w:p>
        </w:tc>
      </w:tr>
      <w:tr w:rsidR="00083A70">
        <w:trPr>
          <w:trHeight w:val="1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83A70" w:rsidRDefault="00083A70">
            <w:pPr>
              <w:pStyle w:val="Default"/>
              <w:jc w:val="center"/>
              <w:rPr>
                <w:color w:val="auto"/>
                <w:sz w:val="20"/>
                <w:szCs w:val="20"/>
              </w:rPr>
            </w:pPr>
          </w:p>
        </w:tc>
      </w:tr>
      <w:tr w:rsidR="00083A70">
        <w:trPr>
          <w:trHeight w:val="153"/>
        </w:trPr>
        <w:tc>
          <w:tcPr>
            <w:tcW w:w="1362" w:type="pct"/>
            <w:vMerge w:val="restar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Limites de Notificação</w:t>
            </w: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≤1g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0,1%</w:t>
            </w:r>
          </w:p>
        </w:tc>
      </w:tr>
      <w:tr w:rsidR="00083A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A70" w:rsidRDefault="00083A70">
            <w:pPr>
              <w:rPr>
                <w:rFonts w:ascii="Arial" w:hAnsi="Arial" w:cs="Arial"/>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&gt;1g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0,05%</w:t>
            </w:r>
          </w:p>
        </w:tc>
      </w:tr>
      <w:tr w:rsidR="00083A70">
        <w:trPr>
          <w:trHeight w:val="150"/>
        </w:trPr>
        <w:tc>
          <w:tcPr>
            <w:tcW w:w="1362" w:type="pct"/>
            <w:vMerge w:val="restar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Limites de Identificação</w:t>
            </w: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&lt;1mg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1,0% ou 5μg ATD, o que for menor</w:t>
            </w:r>
          </w:p>
        </w:tc>
      </w:tr>
      <w:tr w:rsidR="00083A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A70" w:rsidRDefault="00083A70">
            <w:pPr>
              <w:rPr>
                <w:rFonts w:ascii="Arial" w:hAnsi="Arial" w:cs="Arial"/>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1mg-10mg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0,5% ou 20μg ATD, o que for menor</w:t>
            </w:r>
          </w:p>
        </w:tc>
      </w:tr>
      <w:tr w:rsidR="00083A7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A70" w:rsidRDefault="00083A70">
            <w:pPr>
              <w:rPr>
                <w:rFonts w:ascii="Arial" w:hAnsi="Arial" w:cs="Arial"/>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&gt;10mg-2g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0,2% ou 2mg ATD, o que for menor</w:t>
            </w:r>
          </w:p>
        </w:tc>
      </w:tr>
      <w:tr w:rsidR="00083A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A70" w:rsidRDefault="00083A70">
            <w:pPr>
              <w:rPr>
                <w:rFonts w:ascii="Arial" w:hAnsi="Arial" w:cs="Arial"/>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&gt; 2g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0,10%</w:t>
            </w:r>
          </w:p>
        </w:tc>
      </w:tr>
      <w:tr w:rsidR="00083A70">
        <w:trPr>
          <w:trHeight w:val="153"/>
        </w:trPr>
        <w:tc>
          <w:tcPr>
            <w:tcW w:w="5000" w:type="pct"/>
            <w:gridSpan w:val="3"/>
            <w:tcBorders>
              <w:top w:val="single" w:sz="4" w:space="0" w:color="auto"/>
              <w:left w:val="single" w:sz="4" w:space="0" w:color="auto"/>
              <w:bottom w:val="single" w:sz="4" w:space="0" w:color="auto"/>
              <w:right w:val="single" w:sz="4" w:space="0" w:color="auto"/>
            </w:tcBorders>
            <w:vAlign w:val="center"/>
          </w:tcPr>
          <w:p w:rsidR="00083A70" w:rsidRDefault="00083A70">
            <w:pPr>
              <w:pStyle w:val="Default"/>
              <w:jc w:val="center"/>
              <w:rPr>
                <w:color w:val="auto"/>
                <w:sz w:val="20"/>
                <w:szCs w:val="20"/>
              </w:rPr>
            </w:pPr>
          </w:p>
        </w:tc>
      </w:tr>
      <w:tr w:rsidR="00083A70">
        <w:trPr>
          <w:trHeight w:val="150"/>
        </w:trPr>
        <w:tc>
          <w:tcPr>
            <w:tcW w:w="1362" w:type="pct"/>
            <w:vMerge w:val="restar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Limites de Qualificação</w:t>
            </w: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&lt;10 mg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1,0% ou 50μg ATD, o que for menor</w:t>
            </w:r>
          </w:p>
        </w:tc>
      </w:tr>
      <w:tr w:rsidR="00083A70">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A70" w:rsidRDefault="00083A70">
            <w:pPr>
              <w:rPr>
                <w:rFonts w:ascii="Arial" w:hAnsi="Arial" w:cs="Arial"/>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10 mg-100mg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0,5% ou 200μg ATD, o que for menor</w:t>
            </w:r>
          </w:p>
        </w:tc>
      </w:tr>
      <w:tr w:rsidR="00083A7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A70" w:rsidRDefault="00083A70">
            <w:pPr>
              <w:rPr>
                <w:rFonts w:ascii="Arial" w:hAnsi="Arial" w:cs="Arial"/>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&gt;100 mg - 2g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0,2% ou 3mg ATD, o que for menor</w:t>
            </w:r>
          </w:p>
        </w:tc>
      </w:tr>
      <w:tr w:rsidR="00083A70">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A70" w:rsidRDefault="00083A70">
            <w:pPr>
              <w:rPr>
                <w:rFonts w:ascii="Arial" w:hAnsi="Arial" w:cs="Arial"/>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&gt;2g</w:t>
            </w:r>
          </w:p>
        </w:tc>
        <w:tc>
          <w:tcPr>
            <w:tcW w:w="2175" w:type="pct"/>
            <w:tcBorders>
              <w:top w:val="single" w:sz="4" w:space="0" w:color="auto"/>
              <w:left w:val="single" w:sz="4" w:space="0" w:color="auto"/>
              <w:bottom w:val="single" w:sz="4" w:space="0" w:color="auto"/>
              <w:right w:val="single" w:sz="4" w:space="0" w:color="auto"/>
            </w:tcBorders>
            <w:vAlign w:val="center"/>
            <w:hideMark/>
          </w:tcPr>
          <w:p w:rsidR="00083A70" w:rsidRDefault="00083A70">
            <w:pPr>
              <w:pStyle w:val="Default"/>
              <w:jc w:val="center"/>
              <w:rPr>
                <w:sz w:val="20"/>
                <w:szCs w:val="20"/>
              </w:rPr>
            </w:pPr>
            <w:r>
              <w:rPr>
                <w:sz w:val="20"/>
                <w:szCs w:val="20"/>
              </w:rPr>
              <w:t>0,15%</w:t>
            </w:r>
          </w:p>
        </w:tc>
      </w:tr>
    </w:tbl>
    <w:p w:rsidR="00083A70" w:rsidRDefault="00083A70" w:rsidP="00083A70">
      <w:pPr>
        <w:ind w:firstLine="567"/>
        <w:jc w:val="both"/>
        <w:rPr>
          <w:rFonts w:ascii="Arial" w:hAnsi="Arial" w:cs="Arial"/>
          <w:sz w:val="20"/>
          <w:szCs w:val="20"/>
          <w:lang w:eastAsia="en-US"/>
        </w:rPr>
      </w:pP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Onde:</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1 - Quantidade máxima do insumo farmacêutico ativo administrado por dia.</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2 - Limites dos produtos de degradação são expressos como a percentagem do insumo farmacêutico ativo ou como a administração total diária (ATD) de um produto de degradação.</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1º Os resultados dos ensaios de quantificação do(s) produto(s) de degradação devem ter avaliação crítica frente à redução do teor do insumo farmacêutico ativo observada durante o(s) estudo(s) de estabilidade iniciado(s) ou em andamento conforme resolução específica para a realização de estudos de estabilidade.</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2º A avaliação da necessidade de notificação, identificação e qualificação do(s) produto(s) de degradação deve considerar a maior concentração da impureza de degradação encontrada durante o estudo de estabilidade.</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3º O(s) produto(s) de degradação com percentual acima dos limites de notificação estabelecidos deverá(</w:t>
      </w:r>
      <w:proofErr w:type="spellStart"/>
      <w:r>
        <w:rPr>
          <w:rFonts w:ascii="Arial" w:hAnsi="Arial" w:cs="Arial"/>
          <w:sz w:val="20"/>
          <w:szCs w:val="20"/>
        </w:rPr>
        <w:t>ão</w:t>
      </w:r>
      <w:proofErr w:type="spellEnd"/>
      <w:r>
        <w:rPr>
          <w:rFonts w:ascii="Arial" w:hAnsi="Arial" w:cs="Arial"/>
          <w:sz w:val="20"/>
          <w:szCs w:val="20"/>
        </w:rPr>
        <w:t>) ser reportado(s) no estudo de estabilidade e estar incluído(s) no limite de impurezas totais.</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4º O(s) produto(s) de degradação com percentual ou valor correspondente acima dos limites de identificação estabelecidos deverá(</w:t>
      </w:r>
      <w:proofErr w:type="spellStart"/>
      <w:r>
        <w:rPr>
          <w:rFonts w:ascii="Arial" w:hAnsi="Arial" w:cs="Arial"/>
          <w:sz w:val="20"/>
          <w:szCs w:val="20"/>
        </w:rPr>
        <w:t>ão</w:t>
      </w:r>
      <w:proofErr w:type="spellEnd"/>
      <w:r>
        <w:rPr>
          <w:rFonts w:ascii="Arial" w:hAnsi="Arial" w:cs="Arial"/>
          <w:sz w:val="20"/>
          <w:szCs w:val="20"/>
        </w:rPr>
        <w:t>) ter sua estrutura química identificada e realizada a quantificação individual.</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5º O(s) produto(s) de degradação com percentual ou valor correspondente acima dos limites de identificação e abaixo dos limites de qualificação que apresentem na sua estrutura química características que conduzam à classificação de produto potencialmente tóxico deverá(</w:t>
      </w:r>
      <w:proofErr w:type="spellStart"/>
      <w:r>
        <w:rPr>
          <w:rFonts w:ascii="Arial" w:hAnsi="Arial" w:cs="Arial"/>
          <w:sz w:val="20"/>
          <w:szCs w:val="20"/>
        </w:rPr>
        <w:t>ão</w:t>
      </w:r>
      <w:proofErr w:type="spellEnd"/>
      <w:r>
        <w:rPr>
          <w:rFonts w:ascii="Arial" w:hAnsi="Arial" w:cs="Arial"/>
          <w:sz w:val="20"/>
          <w:szCs w:val="20"/>
        </w:rPr>
        <w:t>) ter seu perfil de segurança estabelecido através da avaliação da segurança biológica.</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6º O(s) produto(s) de degradação com percentual ou valor correspondente acima dos limites de qualificação estabelecidos, quando apresentarem na sua estrutura química características que conduzam à classificação de produto potencialmente tóxico, deverá(</w:t>
      </w:r>
      <w:proofErr w:type="spellStart"/>
      <w:r>
        <w:rPr>
          <w:rFonts w:ascii="Arial" w:hAnsi="Arial" w:cs="Arial"/>
          <w:sz w:val="20"/>
          <w:szCs w:val="20"/>
        </w:rPr>
        <w:t>ão</w:t>
      </w:r>
      <w:proofErr w:type="spellEnd"/>
      <w:r>
        <w:rPr>
          <w:rFonts w:ascii="Arial" w:hAnsi="Arial" w:cs="Arial"/>
          <w:sz w:val="20"/>
          <w:szCs w:val="20"/>
        </w:rPr>
        <w:t>), além de atender ao disposto no §4º, ter seu perfil de segurança estabelecido através da avaliação da segurança biológica.</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xml:space="preserve">§ 7 º O perfil de segurança expresso no §5º e §6º estará estabelecido para aqueles produtos que atenderem ao disposto no art. 10 e poderá ser determinado por meio de avaliação de </w:t>
      </w:r>
      <w:proofErr w:type="spellStart"/>
      <w:r>
        <w:rPr>
          <w:rFonts w:ascii="Arial" w:hAnsi="Arial" w:cs="Arial"/>
          <w:sz w:val="20"/>
          <w:szCs w:val="20"/>
        </w:rPr>
        <w:t>genotoxicidade</w:t>
      </w:r>
      <w:proofErr w:type="spellEnd"/>
      <w:r>
        <w:rPr>
          <w:rFonts w:ascii="Arial" w:hAnsi="Arial" w:cs="Arial"/>
          <w:sz w:val="20"/>
          <w:szCs w:val="20"/>
        </w:rPr>
        <w:t xml:space="preserve"> e estudos gerais de toxicidade utilizando metodologia validada e conforme guia específico para a condução de estudos não clínicos de segurança necessários ao desenvolvimento de medicamentos.</w:t>
      </w:r>
    </w:p>
    <w:p w:rsidR="00083A70" w:rsidRDefault="00083A70" w:rsidP="00083A70">
      <w:pPr>
        <w:autoSpaceDE w:val="0"/>
        <w:autoSpaceDN w:val="0"/>
        <w:adjustRightInd w:val="0"/>
        <w:ind w:firstLine="567"/>
        <w:jc w:val="both"/>
        <w:rPr>
          <w:rFonts w:ascii="Arial" w:hAnsi="Arial" w:cs="Arial"/>
          <w:sz w:val="20"/>
          <w:szCs w:val="20"/>
        </w:rPr>
      </w:pP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Art. 10 O produto de degradação poderá ser considerado qualificado quando atender ao menos uma das seguintes condições:</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I - o produto de degradação for um metabólito significativo encontrado durante estudos em humanos ou animais;</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 xml:space="preserve">II - a quantidade observada e o limite de aceitação proposto de um produto de degradação estiverem adequadamente justificados em literatura científica ou compêndios oficiais; ou </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III - a quantidade observada e o limite de aceitação proposto para um produto de degradação não exceder o limite adequado observado em estudos de toxicidade.</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Parágrafo único. A empresa não será dispensada de identificar o(s) produto(s) de degradação.</w:t>
      </w:r>
    </w:p>
    <w:p w:rsidR="00083A70" w:rsidRDefault="00083A70" w:rsidP="00083A70">
      <w:pPr>
        <w:autoSpaceDE w:val="0"/>
        <w:autoSpaceDN w:val="0"/>
        <w:adjustRightInd w:val="0"/>
        <w:ind w:firstLine="567"/>
        <w:jc w:val="both"/>
        <w:rPr>
          <w:rFonts w:ascii="Arial" w:hAnsi="Arial" w:cs="Arial"/>
          <w:sz w:val="20"/>
          <w:szCs w:val="20"/>
        </w:rPr>
      </w:pP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Art. 11. Os limites de aceitação para cada produto de degradação individual e o limite total de produtos de degradação deverão ser incluídos nas especificações de liberação do medicamento e do estudo de estabilidade.</w:t>
      </w:r>
    </w:p>
    <w:p w:rsidR="00083A70" w:rsidRDefault="00083A70" w:rsidP="00083A70">
      <w:pPr>
        <w:autoSpaceDE w:val="0"/>
        <w:autoSpaceDN w:val="0"/>
        <w:adjustRightInd w:val="0"/>
        <w:ind w:firstLine="567"/>
        <w:jc w:val="both"/>
        <w:rPr>
          <w:rFonts w:ascii="Arial" w:hAnsi="Arial" w:cs="Arial"/>
          <w:sz w:val="20"/>
          <w:szCs w:val="20"/>
        </w:rPr>
      </w:pPr>
      <w:r>
        <w:rPr>
          <w:rFonts w:ascii="Arial" w:hAnsi="Arial" w:cs="Arial"/>
          <w:sz w:val="20"/>
          <w:szCs w:val="20"/>
        </w:rPr>
        <w:t>Parágrafo único. O produto de degradação que superar o limite de notificação deverá ser incluído nas especificações de liberação do medicamento e do estudo de estabilidade.</w:t>
      </w:r>
    </w:p>
    <w:p w:rsidR="00083A70" w:rsidRDefault="00083A70" w:rsidP="00083A70">
      <w:pPr>
        <w:ind w:firstLine="567"/>
        <w:jc w:val="both"/>
        <w:rPr>
          <w:rFonts w:ascii="Arial" w:hAnsi="Arial" w:cs="Arial"/>
          <w:sz w:val="20"/>
          <w:szCs w:val="20"/>
          <w:lang w:eastAsia="en-US"/>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12. A ANVISA poderá solicitar o início da monitoração de determinado(s) produto(s) de degradação em um período anterior ao descrito nesta Resolução, caso existam evidências de toxicidade ou perda de eficácia do medicamento.</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Art. 13. O disposto nesta Resolução se aplica aos registros de medicamentos ou inclusão de nova concentração ou nova forma farmacêutica bem como às alterações pós-registro em que haja alteração de fórmula, processo de produção, metodologia analítica para análise de teor ou produto de degradação, rota de síntese ou local de fabricação do fármaco, cuidados de conservação ou composição da embalagem primária.</w:t>
      </w:r>
      <w:r>
        <w:rPr>
          <w:rFonts w:ascii="Arial" w:hAnsi="Arial" w:cs="Arial"/>
          <w:b/>
          <w:color w:val="0000CC"/>
          <w:sz w:val="20"/>
          <w:szCs w:val="20"/>
        </w:rPr>
        <w:t xml:space="preserve"> (Alterado</w:t>
      </w:r>
      <w:r w:rsidRPr="00083A70">
        <w:rPr>
          <w:rFonts w:ascii="Arial" w:hAnsi="Arial" w:cs="Arial"/>
          <w:b/>
          <w:color w:val="0000CC"/>
          <w:sz w:val="20"/>
          <w:szCs w:val="20"/>
        </w:rPr>
        <w:t xml:space="preserve"> pela RDC nº 171/2017</w:t>
      </w:r>
      <w:r>
        <w:rPr>
          <w:rFonts w:ascii="Arial" w:hAnsi="Arial" w:cs="Arial"/>
          <w:b/>
          <w:color w:val="0000CC"/>
          <w:sz w:val="20"/>
          <w:szCs w:val="20"/>
        </w:rPr>
        <w:t>, de 22 de agosto de 2017</w:t>
      </w:r>
      <w:r w:rsidRPr="00083A70">
        <w:rPr>
          <w:rFonts w:ascii="Arial" w:hAnsi="Arial" w:cs="Arial"/>
          <w:b/>
          <w:color w:val="0000CC"/>
          <w:sz w:val="20"/>
          <w:szCs w:val="20"/>
        </w:rPr>
        <w:t>)</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sz w:val="20"/>
          <w:szCs w:val="20"/>
          <w:lang w:eastAsia="en-US"/>
        </w:rPr>
      </w:pPr>
      <w:r w:rsidRPr="00083A70">
        <w:rPr>
          <w:rFonts w:ascii="Arial" w:hAnsi="Arial" w:cs="Arial"/>
          <w:sz w:val="20"/>
          <w:szCs w:val="20"/>
          <w:lang w:eastAsia="en-US"/>
        </w:rPr>
        <w:t>"Art. 13. O disposto nesta Resolução se aplica às seguintessituações:</w:t>
      </w:r>
    </w:p>
    <w:p w:rsidR="00083A70" w:rsidRPr="00083A70" w:rsidRDefault="00083A70" w:rsidP="00083A70">
      <w:pPr>
        <w:autoSpaceDE w:val="0"/>
        <w:autoSpaceDN w:val="0"/>
        <w:adjustRightInd w:val="0"/>
        <w:jc w:val="both"/>
        <w:rPr>
          <w:rFonts w:ascii="Arial" w:hAnsi="Arial" w:cs="Arial"/>
          <w:sz w:val="20"/>
          <w:szCs w:val="20"/>
          <w:lang w:eastAsia="en-US"/>
        </w:rPr>
      </w:pP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spellStart"/>
      <w:r w:rsidRPr="00083A70">
        <w:rPr>
          <w:rFonts w:ascii="Arial" w:hAnsi="Arial" w:cs="Arial"/>
          <w:sz w:val="20"/>
          <w:szCs w:val="20"/>
          <w:lang w:eastAsia="en-US"/>
        </w:rPr>
        <w:t>I.registro</w:t>
      </w:r>
      <w:proofErr w:type="spellEnd"/>
      <w:r w:rsidRPr="00083A70">
        <w:rPr>
          <w:rFonts w:ascii="Arial" w:hAnsi="Arial" w:cs="Arial"/>
          <w:sz w:val="20"/>
          <w:szCs w:val="20"/>
          <w:lang w:eastAsia="en-US"/>
        </w:rPr>
        <w:t xml:space="preserve"> de medicamentos novos, genéricos e similares;</w:t>
      </w: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gramStart"/>
      <w:r w:rsidRPr="00083A70">
        <w:rPr>
          <w:rFonts w:ascii="Arial" w:hAnsi="Arial" w:cs="Arial"/>
          <w:sz w:val="20"/>
          <w:szCs w:val="20"/>
          <w:lang w:eastAsia="en-US"/>
        </w:rPr>
        <w:t>II.</w:t>
      </w:r>
      <w:proofErr w:type="gramEnd"/>
      <w:r w:rsidRPr="00083A70">
        <w:rPr>
          <w:rFonts w:ascii="Arial" w:hAnsi="Arial" w:cs="Arial"/>
          <w:sz w:val="20"/>
          <w:szCs w:val="20"/>
          <w:lang w:eastAsia="en-US"/>
        </w:rPr>
        <w:t>inclusão de nova forma farmacêutica;</w:t>
      </w: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gramStart"/>
      <w:r w:rsidRPr="00083A70">
        <w:rPr>
          <w:rFonts w:ascii="Arial" w:hAnsi="Arial" w:cs="Arial"/>
          <w:sz w:val="20"/>
          <w:szCs w:val="20"/>
          <w:lang w:eastAsia="en-US"/>
        </w:rPr>
        <w:t>III.</w:t>
      </w:r>
      <w:proofErr w:type="gramEnd"/>
      <w:r w:rsidRPr="00083A70">
        <w:rPr>
          <w:rFonts w:ascii="Arial" w:hAnsi="Arial" w:cs="Arial"/>
          <w:sz w:val="20"/>
          <w:szCs w:val="20"/>
          <w:lang w:eastAsia="en-US"/>
        </w:rPr>
        <w:t>inclusão de nova concentração;</w:t>
      </w: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gramStart"/>
      <w:r w:rsidRPr="00083A70">
        <w:rPr>
          <w:rFonts w:ascii="Arial" w:hAnsi="Arial" w:cs="Arial"/>
          <w:sz w:val="20"/>
          <w:szCs w:val="20"/>
          <w:lang w:eastAsia="en-US"/>
        </w:rPr>
        <w:t>IV.</w:t>
      </w:r>
      <w:proofErr w:type="gramEnd"/>
      <w:r w:rsidRPr="00083A70">
        <w:rPr>
          <w:rFonts w:ascii="Arial" w:hAnsi="Arial" w:cs="Arial"/>
          <w:sz w:val="20"/>
          <w:szCs w:val="20"/>
          <w:lang w:eastAsia="en-US"/>
        </w:rPr>
        <w:t xml:space="preserve">mudanças relacionadas ao insumo farmacêutico ativo quenão sejam de implementação imediata conforme norma de </w:t>
      </w:r>
      <w:proofErr w:type="spellStart"/>
      <w:r w:rsidRPr="00083A70">
        <w:rPr>
          <w:rFonts w:ascii="Arial" w:hAnsi="Arial" w:cs="Arial"/>
          <w:sz w:val="20"/>
          <w:szCs w:val="20"/>
          <w:lang w:eastAsia="en-US"/>
        </w:rPr>
        <w:t>alteraçõespós-registro</w:t>
      </w:r>
      <w:proofErr w:type="spellEnd"/>
      <w:r w:rsidRPr="00083A70">
        <w:rPr>
          <w:rFonts w:ascii="Arial" w:hAnsi="Arial" w:cs="Arial"/>
          <w:sz w:val="20"/>
          <w:szCs w:val="20"/>
          <w:lang w:eastAsia="en-US"/>
        </w:rPr>
        <w:t xml:space="preserve"> vigente;</w:t>
      </w: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spellStart"/>
      <w:r w:rsidRPr="00083A70">
        <w:rPr>
          <w:rFonts w:ascii="Arial" w:hAnsi="Arial" w:cs="Arial"/>
          <w:sz w:val="20"/>
          <w:szCs w:val="20"/>
          <w:lang w:eastAsia="en-US"/>
        </w:rPr>
        <w:t>V.mudanças</w:t>
      </w:r>
      <w:proofErr w:type="spellEnd"/>
      <w:r w:rsidRPr="00083A70">
        <w:rPr>
          <w:rFonts w:ascii="Arial" w:hAnsi="Arial" w:cs="Arial"/>
          <w:sz w:val="20"/>
          <w:szCs w:val="20"/>
          <w:lang w:eastAsia="en-US"/>
        </w:rPr>
        <w:t xml:space="preserve"> na composição do medicamento que não sejamde </w:t>
      </w:r>
      <w:proofErr w:type="gramStart"/>
      <w:r w:rsidRPr="00083A70">
        <w:rPr>
          <w:rFonts w:ascii="Arial" w:hAnsi="Arial" w:cs="Arial"/>
          <w:sz w:val="20"/>
          <w:szCs w:val="20"/>
          <w:lang w:eastAsia="en-US"/>
        </w:rPr>
        <w:t>implementação</w:t>
      </w:r>
      <w:proofErr w:type="gramEnd"/>
      <w:r w:rsidRPr="00083A70">
        <w:rPr>
          <w:rFonts w:ascii="Arial" w:hAnsi="Arial" w:cs="Arial"/>
          <w:sz w:val="20"/>
          <w:szCs w:val="20"/>
          <w:lang w:eastAsia="en-US"/>
        </w:rPr>
        <w:t xml:space="preserve"> imediata conforme norma de alterações </w:t>
      </w:r>
      <w:proofErr w:type="spellStart"/>
      <w:r w:rsidRPr="00083A70">
        <w:rPr>
          <w:rFonts w:ascii="Arial" w:hAnsi="Arial" w:cs="Arial"/>
          <w:sz w:val="20"/>
          <w:szCs w:val="20"/>
          <w:lang w:eastAsia="en-US"/>
        </w:rPr>
        <w:t>pós-registrovigente</w:t>
      </w:r>
      <w:proofErr w:type="spellEnd"/>
      <w:r w:rsidRPr="00083A70">
        <w:rPr>
          <w:rFonts w:ascii="Arial" w:hAnsi="Arial" w:cs="Arial"/>
          <w:sz w:val="20"/>
          <w:szCs w:val="20"/>
          <w:lang w:eastAsia="en-US"/>
        </w:rPr>
        <w:t>, exceto mudança maior de sulco;</w:t>
      </w: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gramStart"/>
      <w:r w:rsidRPr="00083A70">
        <w:rPr>
          <w:rFonts w:ascii="Arial" w:hAnsi="Arial" w:cs="Arial"/>
          <w:sz w:val="20"/>
          <w:szCs w:val="20"/>
          <w:lang w:eastAsia="en-US"/>
        </w:rPr>
        <w:t>VI.</w:t>
      </w:r>
      <w:proofErr w:type="gramEnd"/>
      <w:r w:rsidRPr="00083A70">
        <w:rPr>
          <w:rFonts w:ascii="Arial" w:hAnsi="Arial" w:cs="Arial"/>
          <w:sz w:val="20"/>
          <w:szCs w:val="20"/>
          <w:lang w:eastAsia="en-US"/>
        </w:rPr>
        <w:t xml:space="preserve">mudanças no processo de produção que não sejam deimplementação imediata, conforme norma de alterações </w:t>
      </w:r>
      <w:proofErr w:type="spellStart"/>
      <w:r w:rsidRPr="00083A70">
        <w:rPr>
          <w:rFonts w:ascii="Arial" w:hAnsi="Arial" w:cs="Arial"/>
          <w:sz w:val="20"/>
          <w:szCs w:val="20"/>
          <w:lang w:eastAsia="en-US"/>
        </w:rPr>
        <w:t>pós-registrovigente</w:t>
      </w:r>
      <w:proofErr w:type="spellEnd"/>
      <w:r w:rsidRPr="00083A70">
        <w:rPr>
          <w:rFonts w:ascii="Arial" w:hAnsi="Arial" w:cs="Arial"/>
          <w:sz w:val="20"/>
          <w:szCs w:val="20"/>
          <w:lang w:eastAsia="en-US"/>
        </w:rPr>
        <w:t>;</w:t>
      </w: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gramStart"/>
      <w:r w:rsidRPr="00083A70">
        <w:rPr>
          <w:rFonts w:ascii="Arial" w:hAnsi="Arial" w:cs="Arial"/>
          <w:sz w:val="20"/>
          <w:szCs w:val="20"/>
          <w:lang w:eastAsia="en-US"/>
        </w:rPr>
        <w:t>VII.</w:t>
      </w:r>
      <w:proofErr w:type="gramEnd"/>
      <w:r w:rsidRPr="00083A70">
        <w:rPr>
          <w:rFonts w:ascii="Arial" w:hAnsi="Arial" w:cs="Arial"/>
          <w:sz w:val="20"/>
          <w:szCs w:val="20"/>
          <w:lang w:eastAsia="en-US"/>
        </w:rPr>
        <w:t>mudanças relacionadas à embalagem do medicamento,ao prazo de validade ou aos cuidados de conservação do medicamentopara as quais são solicitados relatório de estudo de estabilidadede longa duração referente a 3 (três) lotes do medicamento;</w:t>
      </w:r>
    </w:p>
    <w:p w:rsidR="00083A70" w:rsidRPr="00083A70" w:rsidRDefault="00083A70" w:rsidP="00083A70">
      <w:pPr>
        <w:autoSpaceDE w:val="0"/>
        <w:autoSpaceDN w:val="0"/>
        <w:adjustRightInd w:val="0"/>
        <w:ind w:firstLine="567"/>
        <w:jc w:val="both"/>
        <w:rPr>
          <w:rFonts w:ascii="Arial" w:hAnsi="Arial" w:cs="Arial"/>
          <w:sz w:val="20"/>
          <w:szCs w:val="20"/>
          <w:lang w:eastAsia="en-US"/>
        </w:rPr>
      </w:pPr>
      <w:proofErr w:type="gramStart"/>
      <w:r w:rsidRPr="00083A70">
        <w:rPr>
          <w:rFonts w:ascii="Arial" w:hAnsi="Arial" w:cs="Arial"/>
          <w:sz w:val="20"/>
          <w:szCs w:val="20"/>
          <w:lang w:eastAsia="en-US"/>
        </w:rPr>
        <w:t>VIII.</w:t>
      </w:r>
      <w:proofErr w:type="gramEnd"/>
      <w:r w:rsidRPr="00083A70">
        <w:rPr>
          <w:rFonts w:ascii="Arial" w:hAnsi="Arial" w:cs="Arial"/>
          <w:sz w:val="20"/>
          <w:szCs w:val="20"/>
          <w:lang w:eastAsia="en-US"/>
        </w:rPr>
        <w:t>mudanças relacionadas ao método analítico de controlede qualidade ou estabilidade para testes de teor ou produtos de degradaçãodo medicamento, que não sejam de implementação imediata,conforme norma de alterações pós-registro vigente.</w:t>
      </w:r>
    </w:p>
    <w:p w:rsidR="00083A70" w:rsidRDefault="00083A70" w:rsidP="00083A70">
      <w:pPr>
        <w:autoSpaceDE w:val="0"/>
        <w:autoSpaceDN w:val="0"/>
        <w:adjustRightInd w:val="0"/>
        <w:jc w:val="both"/>
        <w:rPr>
          <w:rFonts w:ascii="Arial" w:hAnsi="Arial" w:cs="Arial"/>
          <w:sz w:val="20"/>
          <w:szCs w:val="20"/>
          <w:lang w:eastAsia="en-US"/>
        </w:rPr>
      </w:pPr>
    </w:p>
    <w:p w:rsidR="00083A70" w:rsidRPr="00083A70" w:rsidRDefault="00083A70" w:rsidP="00083A70">
      <w:pPr>
        <w:autoSpaceDE w:val="0"/>
        <w:autoSpaceDN w:val="0"/>
        <w:adjustRightInd w:val="0"/>
        <w:ind w:firstLine="567"/>
        <w:jc w:val="both"/>
        <w:rPr>
          <w:rFonts w:ascii="Arial" w:hAnsi="Arial" w:cs="Arial"/>
          <w:color w:val="000000"/>
          <w:sz w:val="20"/>
          <w:szCs w:val="20"/>
        </w:rPr>
      </w:pPr>
      <w:r w:rsidRPr="00083A70">
        <w:rPr>
          <w:rFonts w:ascii="Arial" w:hAnsi="Arial" w:cs="Arial"/>
          <w:sz w:val="20"/>
          <w:szCs w:val="20"/>
          <w:lang w:eastAsia="en-US"/>
        </w:rPr>
        <w:t xml:space="preserve">Parágrafo único. Para o inciso VIII aplica-se apenas o </w:t>
      </w:r>
      <w:proofErr w:type="spellStart"/>
      <w:r w:rsidRPr="00083A70">
        <w:rPr>
          <w:rFonts w:ascii="Arial" w:hAnsi="Arial" w:cs="Arial"/>
          <w:sz w:val="20"/>
          <w:szCs w:val="20"/>
          <w:lang w:eastAsia="en-US"/>
        </w:rPr>
        <w:t>dispostonos</w:t>
      </w:r>
      <w:proofErr w:type="spellEnd"/>
      <w:r w:rsidRPr="00083A70">
        <w:rPr>
          <w:rFonts w:ascii="Arial" w:hAnsi="Arial" w:cs="Arial"/>
          <w:sz w:val="20"/>
          <w:szCs w:val="20"/>
          <w:lang w:eastAsia="en-US"/>
        </w:rPr>
        <w:t xml:space="preserve"> </w:t>
      </w:r>
      <w:proofErr w:type="spellStart"/>
      <w:r w:rsidRPr="00083A70">
        <w:rPr>
          <w:rFonts w:ascii="Arial" w:hAnsi="Arial" w:cs="Arial"/>
          <w:sz w:val="20"/>
          <w:szCs w:val="20"/>
          <w:lang w:eastAsia="en-US"/>
        </w:rPr>
        <w:t>arts</w:t>
      </w:r>
      <w:proofErr w:type="spellEnd"/>
      <w:r w:rsidRPr="00083A70">
        <w:rPr>
          <w:rFonts w:ascii="Arial" w:hAnsi="Arial" w:cs="Arial"/>
          <w:sz w:val="20"/>
          <w:szCs w:val="20"/>
          <w:lang w:eastAsia="en-US"/>
        </w:rPr>
        <w:t xml:space="preserve">. </w:t>
      </w:r>
      <w:proofErr w:type="gramStart"/>
      <w:r w:rsidRPr="00083A70">
        <w:rPr>
          <w:rFonts w:ascii="Arial" w:hAnsi="Arial" w:cs="Arial"/>
          <w:sz w:val="20"/>
          <w:szCs w:val="20"/>
          <w:lang w:eastAsia="en-US"/>
        </w:rPr>
        <w:t>3°, 4°, 5°, 6°, 7° e 8° desta Resolução"</w:t>
      </w:r>
      <w:proofErr w:type="gramEnd"/>
      <w:r w:rsidRPr="00083A70">
        <w:rPr>
          <w:rFonts w:ascii="Arial" w:hAnsi="Arial" w:cs="Arial"/>
          <w:sz w:val="20"/>
          <w:szCs w:val="20"/>
          <w:lang w:eastAsia="en-US"/>
        </w:rPr>
        <w:t>. (NR)</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Art. 14. Esta Resolução entra em vigor em 23 de dezembro de 2015 para todos os registros, inclusões de nova concentração ou inclusões de nova forma farmacêutica.</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 1° Para medicamentos já registrados com as classificações listadas no Anexo I, esta Resolução entra em vigor em de 31 de dezembro de 2017.</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 2° Para medicamentos já registrados com as classificações listadas no Anexo II, esta Resolução entra em vigor em 31 de dezembro de 2019.</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 3° Para os demais medicamentos já registrados, esta Resolução entra em vigor em 31 de dezembro de 2020.</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 4° As petições referidas no caput devem conter em sua documentação provas do efetivo cumprimento desta Resolução.</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 5° As petições protocoladas na Anvisa até a data da vigência da norma serão analisados à luz da norma vigente na data do protocolo.</w:t>
      </w:r>
      <w:r>
        <w:rPr>
          <w:rFonts w:ascii="Arial" w:hAnsi="Arial" w:cs="Arial"/>
          <w:b/>
          <w:color w:val="0000CC"/>
          <w:sz w:val="20"/>
          <w:szCs w:val="20"/>
        </w:rPr>
        <w:t xml:space="preserve">(Nova Redação dada pela </w:t>
      </w:r>
      <w:r w:rsidRPr="00083A70">
        <w:rPr>
          <w:rFonts w:ascii="Arial" w:hAnsi="Arial" w:cs="Arial"/>
          <w:b/>
          <w:color w:val="0000CC"/>
          <w:sz w:val="20"/>
          <w:szCs w:val="20"/>
        </w:rPr>
        <w:t>RDC nº 171/2017</w:t>
      </w:r>
      <w:r>
        <w:rPr>
          <w:rFonts w:ascii="Arial" w:hAnsi="Arial" w:cs="Arial"/>
          <w:b/>
          <w:color w:val="0000CC"/>
          <w:sz w:val="20"/>
          <w:szCs w:val="20"/>
        </w:rPr>
        <w:t>, de 22 de agosto de 2017</w:t>
      </w:r>
      <w:r w:rsidRPr="00083A70">
        <w:rPr>
          <w:rFonts w:ascii="Arial" w:hAnsi="Arial" w:cs="Arial"/>
          <w:b/>
          <w:color w:val="0000CC"/>
          <w:sz w:val="20"/>
          <w:szCs w:val="20"/>
        </w:rPr>
        <w:t>)</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sz w:val="20"/>
          <w:szCs w:val="20"/>
          <w:lang w:eastAsia="en-US"/>
        </w:rPr>
      </w:pPr>
      <w:r w:rsidRPr="00083A70">
        <w:rPr>
          <w:rFonts w:ascii="Arial" w:hAnsi="Arial" w:cs="Arial"/>
          <w:sz w:val="20"/>
          <w:szCs w:val="20"/>
          <w:lang w:eastAsia="en-US"/>
        </w:rPr>
        <w:t>"Art. 14. Esta Resolução entra em vigor em 23 de dezembrode 2015 para todos os protocolos de registro, inclusão de nova formafarmacêutica ou inclusão de nova concentração.</w:t>
      </w:r>
    </w:p>
    <w:p w:rsidR="00083A70" w:rsidRPr="00083A70" w:rsidRDefault="00083A70" w:rsidP="00083A70">
      <w:pPr>
        <w:autoSpaceDE w:val="0"/>
        <w:autoSpaceDN w:val="0"/>
        <w:adjustRightInd w:val="0"/>
        <w:jc w:val="both"/>
        <w:rPr>
          <w:rFonts w:ascii="Arial" w:hAnsi="Arial" w:cs="Arial"/>
          <w:sz w:val="20"/>
          <w:szCs w:val="20"/>
          <w:lang w:eastAsia="en-US"/>
        </w:rPr>
      </w:pPr>
    </w:p>
    <w:p w:rsidR="00083A70" w:rsidRPr="00083A70" w:rsidRDefault="00083A70" w:rsidP="00083A70">
      <w:pPr>
        <w:autoSpaceDE w:val="0"/>
        <w:autoSpaceDN w:val="0"/>
        <w:adjustRightInd w:val="0"/>
        <w:ind w:firstLine="567"/>
        <w:jc w:val="both"/>
        <w:rPr>
          <w:rFonts w:ascii="Arial" w:hAnsi="Arial" w:cs="Arial"/>
          <w:color w:val="000000"/>
          <w:sz w:val="20"/>
          <w:szCs w:val="20"/>
        </w:rPr>
      </w:pPr>
      <w:r w:rsidRPr="00083A70">
        <w:rPr>
          <w:rFonts w:ascii="Arial" w:hAnsi="Arial" w:cs="Arial"/>
          <w:sz w:val="20"/>
          <w:szCs w:val="20"/>
          <w:lang w:eastAsia="en-US"/>
        </w:rPr>
        <w:t xml:space="preserve">Parágrafo único Os pedidos de registro, inclusão de novaforma farmacêutica e inclusão de nova concentração apresentados </w:t>
      </w:r>
      <w:proofErr w:type="gramStart"/>
      <w:r w:rsidRPr="00083A70">
        <w:rPr>
          <w:rFonts w:ascii="Arial" w:hAnsi="Arial" w:cs="Arial"/>
          <w:sz w:val="20"/>
          <w:szCs w:val="20"/>
          <w:lang w:eastAsia="en-US"/>
        </w:rPr>
        <w:t>àANVISA</w:t>
      </w:r>
      <w:proofErr w:type="gramEnd"/>
      <w:r w:rsidRPr="00083A70">
        <w:rPr>
          <w:rFonts w:ascii="Arial" w:hAnsi="Arial" w:cs="Arial"/>
          <w:sz w:val="20"/>
          <w:szCs w:val="20"/>
          <w:lang w:eastAsia="en-US"/>
        </w:rPr>
        <w:t xml:space="preserve"> antes da entrada em vigor desta Resolução serão analisadosà luz da norma vigente na data do protocolo". (NR)</w:t>
      </w: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Art. 15. Para os casos previstos nos parágrafos 1°, 2° e 3° do Art. 14 a adequação a esta Resolução deverá ser realizada por meio de protocolo específico, com a documentação pertinente.</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trike/>
          <w:color w:val="000000"/>
          <w:sz w:val="20"/>
          <w:szCs w:val="20"/>
        </w:rPr>
        <w:t>§ 1° Caso não tenha havido protocolo específico até a entrada em vigência da Resolução, a Anvisa poderá determinar a suspensão de fabricação até adequação ou cancelar o registro do produto.</w:t>
      </w:r>
    </w:p>
    <w:p w:rsidR="00083A70" w:rsidRDefault="00083A70" w:rsidP="00083A70">
      <w:pPr>
        <w:autoSpaceDE w:val="0"/>
        <w:autoSpaceDN w:val="0"/>
        <w:adjustRightInd w:val="0"/>
        <w:ind w:firstLine="567"/>
        <w:jc w:val="both"/>
        <w:rPr>
          <w:rFonts w:ascii="Arial" w:hAnsi="Arial" w:cs="Arial"/>
          <w:b/>
          <w:color w:val="0000CC"/>
          <w:sz w:val="20"/>
          <w:szCs w:val="20"/>
        </w:rPr>
      </w:pPr>
      <w:r w:rsidRPr="00083A70">
        <w:rPr>
          <w:rFonts w:ascii="Arial" w:hAnsi="Arial" w:cs="Arial"/>
          <w:strike/>
          <w:color w:val="000000"/>
          <w:sz w:val="20"/>
          <w:szCs w:val="20"/>
        </w:rPr>
        <w:t>§ 2° Alterações pós-registro protocoladas em data igual ou posterior ao protocolo específico devem estar de acordo com esta Resolução.</w:t>
      </w:r>
      <w:r>
        <w:rPr>
          <w:rFonts w:ascii="Arial" w:hAnsi="Arial" w:cs="Arial"/>
          <w:b/>
          <w:color w:val="0000CC"/>
          <w:sz w:val="20"/>
          <w:szCs w:val="20"/>
        </w:rPr>
        <w:t xml:space="preserve">(Nova Redação dada pela </w:t>
      </w:r>
      <w:r w:rsidRPr="00083A70">
        <w:rPr>
          <w:rFonts w:ascii="Arial" w:hAnsi="Arial" w:cs="Arial"/>
          <w:b/>
          <w:color w:val="0000CC"/>
          <w:sz w:val="20"/>
          <w:szCs w:val="20"/>
        </w:rPr>
        <w:t>RDC nº 171/2017</w:t>
      </w:r>
      <w:r>
        <w:rPr>
          <w:rFonts w:ascii="Arial" w:hAnsi="Arial" w:cs="Arial"/>
          <w:b/>
          <w:color w:val="0000CC"/>
          <w:sz w:val="20"/>
          <w:szCs w:val="20"/>
        </w:rPr>
        <w:t>, de 22 de agosto de 2017</w:t>
      </w:r>
      <w:r w:rsidRPr="00083A70">
        <w:rPr>
          <w:rFonts w:ascii="Arial" w:hAnsi="Arial" w:cs="Arial"/>
          <w:b/>
          <w:color w:val="0000CC"/>
          <w:sz w:val="20"/>
          <w:szCs w:val="20"/>
        </w:rPr>
        <w:t>)</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p>
    <w:p w:rsidR="00083A70" w:rsidRPr="00083A70" w:rsidRDefault="00083A70" w:rsidP="00083A70">
      <w:pPr>
        <w:autoSpaceDE w:val="0"/>
        <w:autoSpaceDN w:val="0"/>
        <w:adjustRightInd w:val="0"/>
        <w:ind w:firstLine="567"/>
        <w:jc w:val="both"/>
        <w:rPr>
          <w:rFonts w:ascii="Arial" w:hAnsi="Arial" w:cs="Arial"/>
          <w:sz w:val="20"/>
          <w:szCs w:val="20"/>
          <w:lang w:eastAsia="en-US"/>
        </w:rPr>
      </w:pPr>
      <w:r w:rsidRPr="00083A70">
        <w:rPr>
          <w:rFonts w:ascii="Arial" w:hAnsi="Arial" w:cs="Arial"/>
          <w:sz w:val="20"/>
          <w:szCs w:val="20"/>
          <w:lang w:eastAsia="en-US"/>
        </w:rPr>
        <w:t>"Art. 15 Esta Resolução entra em vigor de forma escalonadapara os medicamentos já registrados.</w:t>
      </w:r>
    </w:p>
    <w:p w:rsidR="00083A70" w:rsidRDefault="00083A70" w:rsidP="00083A70">
      <w:pPr>
        <w:autoSpaceDE w:val="0"/>
        <w:autoSpaceDN w:val="0"/>
        <w:adjustRightInd w:val="0"/>
        <w:jc w:val="both"/>
        <w:rPr>
          <w:rFonts w:ascii="Arial" w:hAnsi="Arial" w:cs="Arial"/>
          <w:sz w:val="20"/>
          <w:szCs w:val="20"/>
          <w:lang w:eastAsia="en-US"/>
        </w:rPr>
      </w:pPr>
    </w:p>
    <w:p w:rsidR="00083A70" w:rsidRPr="00083A70" w:rsidRDefault="00083A70" w:rsidP="00083A70">
      <w:pPr>
        <w:autoSpaceDE w:val="0"/>
        <w:autoSpaceDN w:val="0"/>
        <w:adjustRightInd w:val="0"/>
        <w:ind w:firstLine="567"/>
        <w:jc w:val="both"/>
        <w:rPr>
          <w:rFonts w:ascii="Arial" w:hAnsi="Arial" w:cs="Arial"/>
          <w:sz w:val="20"/>
          <w:szCs w:val="20"/>
          <w:lang w:eastAsia="en-US"/>
        </w:rPr>
      </w:pPr>
      <w:r w:rsidRPr="00083A70">
        <w:rPr>
          <w:rFonts w:ascii="Arial" w:hAnsi="Arial" w:cs="Arial"/>
          <w:sz w:val="20"/>
          <w:szCs w:val="20"/>
          <w:lang w:eastAsia="en-US"/>
        </w:rPr>
        <w:t>§ 1° Para medicamentos já registrados com as classificaçõeslistadas no Anexo I, esta Resolução entra em vigor em de 31 dedezembro de 2017.</w:t>
      </w:r>
    </w:p>
    <w:p w:rsidR="00083A70" w:rsidRPr="00083A70" w:rsidRDefault="00083A70" w:rsidP="00083A70">
      <w:pPr>
        <w:autoSpaceDE w:val="0"/>
        <w:autoSpaceDN w:val="0"/>
        <w:adjustRightInd w:val="0"/>
        <w:ind w:firstLine="567"/>
        <w:jc w:val="both"/>
        <w:rPr>
          <w:rFonts w:ascii="Arial" w:hAnsi="Arial" w:cs="Arial"/>
          <w:sz w:val="20"/>
          <w:szCs w:val="20"/>
          <w:lang w:eastAsia="en-US"/>
        </w:rPr>
      </w:pPr>
      <w:r w:rsidRPr="00083A70">
        <w:rPr>
          <w:rFonts w:ascii="Arial" w:hAnsi="Arial" w:cs="Arial"/>
          <w:sz w:val="20"/>
          <w:szCs w:val="20"/>
          <w:lang w:eastAsia="en-US"/>
        </w:rPr>
        <w:t>§ 2° Para medicamentos já registrados com as classificaçõeslistadas no Anexo II, esta Resolução entra em vigor em 31 de dezembrode 2019.</w:t>
      </w:r>
    </w:p>
    <w:p w:rsidR="00083A70" w:rsidRPr="00083A70" w:rsidRDefault="00083A70" w:rsidP="00083A70">
      <w:pPr>
        <w:autoSpaceDE w:val="0"/>
        <w:autoSpaceDN w:val="0"/>
        <w:adjustRightInd w:val="0"/>
        <w:ind w:firstLine="567"/>
        <w:jc w:val="both"/>
        <w:rPr>
          <w:rFonts w:ascii="Arial" w:hAnsi="Arial" w:cs="Arial"/>
          <w:sz w:val="20"/>
          <w:szCs w:val="20"/>
          <w:lang w:eastAsia="en-US"/>
        </w:rPr>
      </w:pPr>
      <w:r w:rsidRPr="00083A70">
        <w:rPr>
          <w:rFonts w:ascii="Arial" w:hAnsi="Arial" w:cs="Arial"/>
          <w:sz w:val="20"/>
          <w:szCs w:val="20"/>
          <w:lang w:eastAsia="en-US"/>
        </w:rPr>
        <w:t>§ 3° Para os demais medicamentos já registrados, esta Resoluçãoentra em vigor em 31 de dezembro de 2020.</w:t>
      </w:r>
    </w:p>
    <w:p w:rsidR="00083A70" w:rsidRPr="00083A70" w:rsidRDefault="00083A70" w:rsidP="00083A70">
      <w:pPr>
        <w:autoSpaceDE w:val="0"/>
        <w:autoSpaceDN w:val="0"/>
        <w:adjustRightInd w:val="0"/>
        <w:ind w:firstLine="567"/>
        <w:jc w:val="both"/>
        <w:rPr>
          <w:rFonts w:ascii="Arial" w:hAnsi="Arial" w:cs="Arial"/>
          <w:sz w:val="20"/>
          <w:szCs w:val="20"/>
          <w:lang w:eastAsia="en-US"/>
        </w:rPr>
      </w:pPr>
      <w:r w:rsidRPr="00083A70">
        <w:rPr>
          <w:rFonts w:ascii="Arial" w:hAnsi="Arial" w:cs="Arial"/>
          <w:sz w:val="20"/>
          <w:szCs w:val="20"/>
          <w:lang w:eastAsia="en-US"/>
        </w:rPr>
        <w:t xml:space="preserve">§ 4° Os pedidos de mudanças pós-registro apresentados </w:t>
      </w:r>
      <w:proofErr w:type="spellStart"/>
      <w:r w:rsidRPr="00083A70">
        <w:rPr>
          <w:rFonts w:ascii="Arial" w:hAnsi="Arial" w:cs="Arial"/>
          <w:sz w:val="20"/>
          <w:szCs w:val="20"/>
          <w:lang w:eastAsia="en-US"/>
        </w:rPr>
        <w:t>àANVISA</w:t>
      </w:r>
      <w:proofErr w:type="spellEnd"/>
      <w:r w:rsidRPr="00083A70">
        <w:rPr>
          <w:rFonts w:ascii="Arial" w:hAnsi="Arial" w:cs="Arial"/>
          <w:sz w:val="20"/>
          <w:szCs w:val="20"/>
          <w:lang w:eastAsia="en-US"/>
        </w:rPr>
        <w:t xml:space="preserve"> até os prazos estipulados nos §§ 1°, 2° e 3° serão analisadosà luz da norma vigente na data do protocolo.</w:t>
      </w:r>
    </w:p>
    <w:p w:rsidR="00083A70" w:rsidRPr="00083A70" w:rsidRDefault="00083A70" w:rsidP="00083A70">
      <w:pPr>
        <w:autoSpaceDE w:val="0"/>
        <w:autoSpaceDN w:val="0"/>
        <w:adjustRightInd w:val="0"/>
        <w:ind w:firstLine="567"/>
        <w:jc w:val="both"/>
        <w:rPr>
          <w:rFonts w:ascii="Arial" w:hAnsi="Arial" w:cs="Arial"/>
          <w:strike/>
          <w:color w:val="000000"/>
          <w:sz w:val="20"/>
          <w:szCs w:val="20"/>
        </w:rPr>
      </w:pPr>
      <w:r w:rsidRPr="00083A70">
        <w:rPr>
          <w:rFonts w:ascii="Arial" w:hAnsi="Arial" w:cs="Arial"/>
          <w:sz w:val="20"/>
          <w:szCs w:val="20"/>
          <w:lang w:eastAsia="en-US"/>
        </w:rPr>
        <w:t xml:space="preserve">§ 5° Medicamentos já registrados que não protocolarem </w:t>
      </w:r>
      <w:proofErr w:type="spellStart"/>
      <w:r w:rsidRPr="00083A70">
        <w:rPr>
          <w:rFonts w:ascii="Arial" w:hAnsi="Arial" w:cs="Arial"/>
          <w:sz w:val="20"/>
          <w:szCs w:val="20"/>
          <w:lang w:eastAsia="en-US"/>
        </w:rPr>
        <w:t>asmudanças</w:t>
      </w:r>
      <w:proofErr w:type="spellEnd"/>
      <w:r w:rsidRPr="00083A70">
        <w:rPr>
          <w:rFonts w:ascii="Arial" w:hAnsi="Arial" w:cs="Arial"/>
          <w:sz w:val="20"/>
          <w:szCs w:val="20"/>
          <w:lang w:eastAsia="en-US"/>
        </w:rPr>
        <w:t xml:space="preserve"> pós-registro listadas nos incisos IV a VIII do art. 13 destaResolução precisarão se adequar a esta Resolução caso seja feitasolicitação pela Anvisa, nos termos do Art. 12". (NR)</w:t>
      </w:r>
      <w:r>
        <w:rPr>
          <w:rFonts w:ascii="Arial" w:hAnsi="Arial" w:cs="Arial"/>
          <w:b/>
          <w:color w:val="0000CC"/>
          <w:sz w:val="20"/>
          <w:szCs w:val="20"/>
        </w:rPr>
        <w:t xml:space="preserve">(Nova Redação dada pela </w:t>
      </w:r>
      <w:r w:rsidRPr="00083A70">
        <w:rPr>
          <w:rFonts w:ascii="Arial" w:hAnsi="Arial" w:cs="Arial"/>
          <w:b/>
          <w:color w:val="0000CC"/>
          <w:sz w:val="20"/>
          <w:szCs w:val="20"/>
        </w:rPr>
        <w:t>RDC nº 171/2017</w:t>
      </w:r>
      <w:r>
        <w:rPr>
          <w:rFonts w:ascii="Arial" w:hAnsi="Arial" w:cs="Arial"/>
          <w:b/>
          <w:color w:val="0000CC"/>
          <w:sz w:val="20"/>
          <w:szCs w:val="20"/>
        </w:rPr>
        <w:t>, de 22 de agosto de 2017</w:t>
      </w:r>
      <w:r w:rsidRPr="00083A70">
        <w:rPr>
          <w:rFonts w:ascii="Arial" w:hAnsi="Arial" w:cs="Arial"/>
          <w:b/>
          <w:color w:val="0000CC"/>
          <w:sz w:val="20"/>
          <w:szCs w:val="20"/>
        </w:rPr>
        <w:t>)</w:t>
      </w:r>
    </w:p>
    <w:p w:rsidR="00083A70" w:rsidRP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p>
    <w:p w:rsidR="00083A70" w:rsidRDefault="00083A70" w:rsidP="00083A70">
      <w:pPr>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Art. 16. Fica revogada a Resolução da Diretoria Colegiada- RDC n° 58, de 20 de dezembro de 2013.</w:t>
      </w:r>
    </w:p>
    <w:p w:rsidR="00083A70" w:rsidRDefault="00083A70" w:rsidP="00083A70">
      <w:pPr>
        <w:rPr>
          <w:rFonts w:ascii="Arial" w:hAnsi="Arial" w:cs="Arial"/>
          <w:color w:val="343334"/>
          <w:sz w:val="20"/>
          <w:szCs w:val="20"/>
        </w:rPr>
      </w:pPr>
    </w:p>
    <w:p w:rsidR="00083A70" w:rsidRDefault="00083A70" w:rsidP="00083A70">
      <w:pPr>
        <w:jc w:val="right"/>
        <w:rPr>
          <w:rFonts w:ascii="Arial" w:hAnsi="Arial" w:cs="Arial"/>
          <w:color w:val="343334"/>
          <w:sz w:val="20"/>
          <w:szCs w:val="20"/>
        </w:rPr>
      </w:pPr>
      <w:r>
        <w:rPr>
          <w:rFonts w:ascii="Arial" w:hAnsi="Arial" w:cs="Arial"/>
          <w:color w:val="343334"/>
          <w:sz w:val="20"/>
          <w:szCs w:val="20"/>
        </w:rPr>
        <w:t xml:space="preserve">JARBAS BARBOSA DA SILVA JUNIOR </w:t>
      </w:r>
    </w:p>
    <w:p w:rsidR="00083A70" w:rsidRDefault="00083A70" w:rsidP="00083A70">
      <w:pPr>
        <w:jc w:val="right"/>
        <w:rPr>
          <w:rFonts w:ascii="Arial" w:hAnsi="Arial" w:cs="Arial"/>
          <w:color w:val="404041"/>
          <w:sz w:val="20"/>
          <w:szCs w:val="20"/>
        </w:rPr>
      </w:pPr>
      <w:r>
        <w:rPr>
          <w:rFonts w:ascii="Arial" w:hAnsi="Arial" w:cs="Arial"/>
          <w:color w:val="404041"/>
          <w:sz w:val="20"/>
          <w:szCs w:val="20"/>
        </w:rPr>
        <w:t xml:space="preserve">Diretor-Presidente </w:t>
      </w:r>
    </w:p>
    <w:p w:rsidR="00083A70" w:rsidRDefault="00083A70" w:rsidP="00083A70">
      <w:pPr>
        <w:jc w:val="right"/>
        <w:rPr>
          <w:rFonts w:ascii="Arial" w:hAnsi="Arial" w:cs="Arial"/>
          <w:color w:val="404041"/>
          <w:sz w:val="20"/>
          <w:szCs w:val="20"/>
        </w:rPr>
      </w:pPr>
    </w:p>
    <w:p w:rsidR="00083A70" w:rsidRDefault="00083A70" w:rsidP="00083A70">
      <w:pPr>
        <w:jc w:val="right"/>
        <w:rPr>
          <w:rFonts w:ascii="Arial" w:hAnsi="Arial" w:cs="Arial"/>
          <w:color w:val="404041"/>
          <w:sz w:val="20"/>
          <w:szCs w:val="20"/>
        </w:rPr>
      </w:pPr>
    </w:p>
    <w:p w:rsidR="00083A70" w:rsidRDefault="00083A70" w:rsidP="00083A70">
      <w:pPr>
        <w:jc w:val="right"/>
        <w:rPr>
          <w:rFonts w:ascii="Arial" w:hAnsi="Arial" w:cs="Arial"/>
          <w:color w:val="404041"/>
          <w:sz w:val="20"/>
          <w:szCs w:val="20"/>
        </w:rPr>
      </w:pPr>
    </w:p>
    <w:p w:rsidR="00083A70" w:rsidRDefault="00083A70" w:rsidP="00083A70">
      <w:pPr>
        <w:jc w:val="right"/>
        <w:rPr>
          <w:rFonts w:ascii="Arial" w:hAnsi="Arial" w:cs="Arial"/>
          <w:color w:val="404041"/>
          <w:sz w:val="20"/>
          <w:szCs w:val="20"/>
        </w:rPr>
      </w:pPr>
    </w:p>
    <w:p w:rsidR="00083A70" w:rsidRDefault="00083A70" w:rsidP="00083A70">
      <w:pPr>
        <w:jc w:val="right"/>
        <w:rPr>
          <w:rFonts w:ascii="Arial" w:hAnsi="Arial" w:cs="Arial"/>
          <w:color w:val="404041"/>
          <w:sz w:val="20"/>
          <w:szCs w:val="20"/>
        </w:rPr>
      </w:pPr>
    </w:p>
    <w:p w:rsidR="00083A70" w:rsidRDefault="00083A70" w:rsidP="00083A70">
      <w:pPr>
        <w:rPr>
          <w:rFonts w:ascii="Arial" w:hAnsi="Arial" w:cs="Arial"/>
          <w:sz w:val="20"/>
          <w:szCs w:val="20"/>
          <w:lang w:eastAsia="en-US"/>
        </w:rPr>
      </w:pPr>
      <w:r>
        <w:rPr>
          <w:rFonts w:ascii="Arial" w:hAnsi="Arial" w:cs="Arial"/>
          <w:sz w:val="20"/>
          <w:szCs w:val="20"/>
        </w:rPr>
        <w:t xml:space="preserve">Anexo I </w:t>
      </w:r>
    </w:p>
    <w:p w:rsidR="00083A70" w:rsidRDefault="00083A70" w:rsidP="00083A70">
      <w:pPr>
        <w:rPr>
          <w:rFonts w:ascii="Arial" w:hAnsi="Arial" w:cs="Arial"/>
          <w:sz w:val="20"/>
          <w:szCs w:val="20"/>
        </w:rPr>
      </w:pPr>
      <w:r>
        <w:rPr>
          <w:rFonts w:ascii="Arial" w:hAnsi="Arial" w:cs="Arial"/>
          <w:sz w:val="20"/>
          <w:szCs w:val="20"/>
        </w:rPr>
        <w:t>Primeiro escalão de classes terapêuticas</w:t>
      </w:r>
    </w:p>
    <w:p w:rsidR="00083A70" w:rsidRDefault="00083A70" w:rsidP="00083A70">
      <w:pPr>
        <w:rPr>
          <w:rFonts w:ascii="Arial" w:hAnsi="Arial" w:cs="Arial"/>
          <w:sz w:val="20"/>
          <w:szCs w:val="20"/>
        </w:rPr>
      </w:pPr>
    </w:p>
    <w:p w:rsidR="00083A70" w:rsidRDefault="00083A70" w:rsidP="00083A70">
      <w:pPr>
        <w:ind w:firstLine="567"/>
        <w:jc w:val="both"/>
        <w:rPr>
          <w:rFonts w:ascii="Arial" w:hAnsi="Arial" w:cs="Arial"/>
          <w:sz w:val="20"/>
          <w:szCs w:val="20"/>
        </w:rPr>
      </w:pPr>
      <w:r>
        <w:rPr>
          <w:rFonts w:ascii="Arial" w:hAnsi="Arial" w:cs="Arial"/>
          <w:sz w:val="20"/>
          <w:szCs w:val="20"/>
        </w:rPr>
        <w:t>AGENTE IMUNOSUPRESSOR</w:t>
      </w:r>
    </w:p>
    <w:p w:rsidR="00083A70" w:rsidRDefault="00083A70" w:rsidP="00083A70">
      <w:pPr>
        <w:ind w:firstLine="567"/>
        <w:jc w:val="both"/>
        <w:rPr>
          <w:rFonts w:ascii="Arial" w:hAnsi="Arial" w:cs="Arial"/>
          <w:sz w:val="20"/>
          <w:szCs w:val="20"/>
        </w:rPr>
      </w:pPr>
      <w:r>
        <w:rPr>
          <w:rFonts w:ascii="Arial" w:hAnsi="Arial" w:cs="Arial"/>
          <w:sz w:val="20"/>
          <w:szCs w:val="20"/>
        </w:rPr>
        <w:t>AMEBICIDAS, GIARDICIDAS E TRICOMONICIDAS</w:t>
      </w:r>
    </w:p>
    <w:p w:rsidR="00083A70" w:rsidRDefault="00083A70" w:rsidP="00083A70">
      <w:pPr>
        <w:ind w:firstLine="567"/>
        <w:jc w:val="both"/>
        <w:rPr>
          <w:rFonts w:ascii="Arial" w:hAnsi="Arial" w:cs="Arial"/>
          <w:sz w:val="20"/>
          <w:szCs w:val="20"/>
        </w:rPr>
      </w:pPr>
      <w:r>
        <w:rPr>
          <w:rFonts w:ascii="Arial" w:hAnsi="Arial" w:cs="Arial"/>
          <w:sz w:val="20"/>
          <w:szCs w:val="20"/>
        </w:rPr>
        <w:t>AMINOGLICOSIDEOS</w:t>
      </w:r>
    </w:p>
    <w:p w:rsidR="00083A70" w:rsidRDefault="00083A70" w:rsidP="00083A70">
      <w:pPr>
        <w:ind w:firstLine="567"/>
        <w:jc w:val="both"/>
        <w:rPr>
          <w:rFonts w:ascii="Arial" w:hAnsi="Arial" w:cs="Arial"/>
          <w:sz w:val="20"/>
          <w:szCs w:val="20"/>
        </w:rPr>
      </w:pPr>
      <w:r>
        <w:rPr>
          <w:rFonts w:ascii="Arial" w:hAnsi="Arial" w:cs="Arial"/>
          <w:sz w:val="20"/>
          <w:szCs w:val="20"/>
        </w:rPr>
        <w:t>ANTIBACTERIANO</w:t>
      </w:r>
    </w:p>
    <w:p w:rsidR="00083A70" w:rsidRDefault="00083A70" w:rsidP="00083A70">
      <w:pPr>
        <w:ind w:firstLine="567"/>
        <w:jc w:val="both"/>
        <w:rPr>
          <w:rFonts w:ascii="Arial" w:hAnsi="Arial" w:cs="Arial"/>
          <w:sz w:val="20"/>
          <w:szCs w:val="20"/>
        </w:rPr>
      </w:pPr>
      <w:r>
        <w:rPr>
          <w:rFonts w:ascii="Arial" w:hAnsi="Arial" w:cs="Arial"/>
          <w:sz w:val="20"/>
          <w:szCs w:val="20"/>
        </w:rPr>
        <w:t>ANTIBIOTICO (ANTIMICOTICO)</w:t>
      </w:r>
    </w:p>
    <w:p w:rsidR="00083A70" w:rsidRDefault="00083A70" w:rsidP="00083A70">
      <w:pPr>
        <w:ind w:firstLine="567"/>
        <w:jc w:val="both"/>
        <w:rPr>
          <w:rFonts w:ascii="Arial" w:hAnsi="Arial" w:cs="Arial"/>
          <w:sz w:val="20"/>
          <w:szCs w:val="20"/>
        </w:rPr>
      </w:pPr>
      <w:r>
        <w:rPr>
          <w:rFonts w:ascii="Arial" w:hAnsi="Arial" w:cs="Arial"/>
          <w:sz w:val="20"/>
          <w:szCs w:val="20"/>
        </w:rPr>
        <w:t>ANTIBIOTICOS ANTINEOPLASICOS</w:t>
      </w:r>
    </w:p>
    <w:p w:rsidR="00083A70" w:rsidRDefault="00083A70" w:rsidP="00083A70">
      <w:pPr>
        <w:ind w:firstLine="567"/>
        <w:jc w:val="both"/>
        <w:rPr>
          <w:rFonts w:ascii="Arial" w:hAnsi="Arial" w:cs="Arial"/>
          <w:sz w:val="20"/>
          <w:szCs w:val="20"/>
        </w:rPr>
      </w:pPr>
      <w:r>
        <w:rPr>
          <w:rFonts w:ascii="Arial" w:hAnsi="Arial" w:cs="Arial"/>
          <w:sz w:val="20"/>
          <w:szCs w:val="20"/>
        </w:rPr>
        <w:t>ANTIBIOTICOS SISTEM - ASSOC MEDIC ENTRE ANTINFEC</w:t>
      </w:r>
    </w:p>
    <w:p w:rsidR="00083A70" w:rsidRDefault="00083A70" w:rsidP="00083A70">
      <w:pPr>
        <w:ind w:firstLine="567"/>
        <w:jc w:val="both"/>
        <w:rPr>
          <w:rFonts w:ascii="Arial" w:hAnsi="Arial" w:cs="Arial"/>
          <w:sz w:val="20"/>
          <w:szCs w:val="20"/>
        </w:rPr>
      </w:pPr>
      <w:r>
        <w:rPr>
          <w:rFonts w:ascii="Arial" w:hAnsi="Arial" w:cs="Arial"/>
          <w:sz w:val="20"/>
          <w:szCs w:val="20"/>
        </w:rPr>
        <w:t>ANTIBIOTICOS SISTEMICOS SIMPLES</w:t>
      </w:r>
    </w:p>
    <w:p w:rsidR="00083A70" w:rsidRDefault="00083A70" w:rsidP="00083A70">
      <w:pPr>
        <w:ind w:firstLine="567"/>
        <w:jc w:val="both"/>
        <w:rPr>
          <w:rFonts w:ascii="Arial" w:hAnsi="Arial" w:cs="Arial"/>
          <w:sz w:val="20"/>
          <w:szCs w:val="20"/>
        </w:rPr>
      </w:pPr>
      <w:r>
        <w:rPr>
          <w:rFonts w:ascii="Arial" w:hAnsi="Arial" w:cs="Arial"/>
          <w:sz w:val="20"/>
          <w:szCs w:val="20"/>
        </w:rPr>
        <w:t>ANTIREUMATICOS</w:t>
      </w:r>
    </w:p>
    <w:p w:rsidR="00083A70" w:rsidRDefault="00083A70" w:rsidP="00083A70">
      <w:pPr>
        <w:ind w:firstLine="567"/>
        <w:jc w:val="both"/>
        <w:rPr>
          <w:rFonts w:ascii="Arial" w:hAnsi="Arial" w:cs="Arial"/>
          <w:sz w:val="20"/>
          <w:szCs w:val="20"/>
        </w:rPr>
      </w:pPr>
      <w:r>
        <w:rPr>
          <w:rFonts w:ascii="Arial" w:hAnsi="Arial" w:cs="Arial"/>
          <w:sz w:val="20"/>
          <w:szCs w:val="20"/>
        </w:rPr>
        <w:t>ANTIBIOTICOS SISTEMICOS-ASSOCIACOES MEDICAMENTOSAS</w:t>
      </w:r>
    </w:p>
    <w:p w:rsidR="00083A70" w:rsidRDefault="00083A70" w:rsidP="00083A70">
      <w:pPr>
        <w:ind w:firstLine="567"/>
        <w:jc w:val="both"/>
        <w:rPr>
          <w:rFonts w:ascii="Arial" w:hAnsi="Arial" w:cs="Arial"/>
          <w:sz w:val="20"/>
          <w:szCs w:val="20"/>
        </w:rPr>
      </w:pPr>
      <w:r>
        <w:rPr>
          <w:rFonts w:ascii="Arial" w:hAnsi="Arial" w:cs="Arial"/>
          <w:sz w:val="20"/>
          <w:szCs w:val="20"/>
        </w:rPr>
        <w:t>ANTI-FUNGICOS</w:t>
      </w:r>
    </w:p>
    <w:p w:rsidR="00083A70" w:rsidRDefault="00083A70" w:rsidP="00083A70">
      <w:pPr>
        <w:ind w:firstLine="567"/>
        <w:jc w:val="both"/>
        <w:rPr>
          <w:rFonts w:ascii="Arial" w:hAnsi="Arial" w:cs="Arial"/>
          <w:sz w:val="20"/>
          <w:szCs w:val="20"/>
        </w:rPr>
      </w:pPr>
      <w:r>
        <w:rPr>
          <w:rFonts w:ascii="Arial" w:hAnsi="Arial" w:cs="Arial"/>
          <w:sz w:val="20"/>
          <w:szCs w:val="20"/>
        </w:rPr>
        <w:t>ANTIMALARICOS</w:t>
      </w:r>
    </w:p>
    <w:p w:rsidR="00083A70" w:rsidRDefault="00083A70" w:rsidP="00083A70">
      <w:pPr>
        <w:ind w:firstLine="567"/>
        <w:jc w:val="both"/>
        <w:rPr>
          <w:rFonts w:ascii="Arial" w:hAnsi="Arial" w:cs="Arial"/>
          <w:sz w:val="20"/>
          <w:szCs w:val="20"/>
        </w:rPr>
      </w:pPr>
      <w:r>
        <w:rPr>
          <w:rFonts w:ascii="Arial" w:hAnsi="Arial" w:cs="Arial"/>
          <w:sz w:val="20"/>
          <w:szCs w:val="20"/>
        </w:rPr>
        <w:t>ANTIMETABOLICOS ANALOGOS DA PIRIMIDINA</w:t>
      </w:r>
    </w:p>
    <w:p w:rsidR="00083A70" w:rsidRDefault="00083A70" w:rsidP="00083A70">
      <w:pPr>
        <w:ind w:firstLine="567"/>
        <w:jc w:val="both"/>
        <w:rPr>
          <w:rFonts w:ascii="Arial" w:hAnsi="Arial" w:cs="Arial"/>
          <w:sz w:val="20"/>
          <w:szCs w:val="20"/>
        </w:rPr>
      </w:pPr>
      <w:r>
        <w:rPr>
          <w:rFonts w:ascii="Arial" w:hAnsi="Arial" w:cs="Arial"/>
          <w:sz w:val="20"/>
          <w:szCs w:val="20"/>
        </w:rPr>
        <w:t>ANTIMETABOLICOS ANALOGOS DA PURINA</w:t>
      </w:r>
    </w:p>
    <w:p w:rsidR="00083A70" w:rsidRDefault="00083A70" w:rsidP="00083A70">
      <w:pPr>
        <w:ind w:firstLine="567"/>
        <w:jc w:val="both"/>
        <w:rPr>
          <w:rFonts w:ascii="Arial" w:hAnsi="Arial" w:cs="Arial"/>
          <w:sz w:val="20"/>
          <w:szCs w:val="20"/>
        </w:rPr>
      </w:pPr>
      <w:r>
        <w:rPr>
          <w:rFonts w:ascii="Arial" w:hAnsi="Arial" w:cs="Arial"/>
          <w:sz w:val="20"/>
          <w:szCs w:val="20"/>
        </w:rPr>
        <w:t>ANTIMETABOLICOS ANTAGONISTAS DO ACIDO FOLICO</w:t>
      </w:r>
    </w:p>
    <w:p w:rsidR="00083A70" w:rsidRDefault="00083A70" w:rsidP="00083A70">
      <w:pPr>
        <w:ind w:firstLine="567"/>
        <w:jc w:val="both"/>
        <w:rPr>
          <w:rFonts w:ascii="Arial" w:hAnsi="Arial" w:cs="Arial"/>
          <w:sz w:val="20"/>
          <w:szCs w:val="20"/>
        </w:rPr>
      </w:pPr>
      <w:r>
        <w:rPr>
          <w:rFonts w:ascii="Arial" w:hAnsi="Arial" w:cs="Arial"/>
          <w:sz w:val="20"/>
          <w:szCs w:val="20"/>
        </w:rPr>
        <w:t>ANTIMICOTICO</w:t>
      </w:r>
    </w:p>
    <w:p w:rsidR="00083A70" w:rsidRDefault="00083A70" w:rsidP="00083A70">
      <w:pPr>
        <w:ind w:firstLine="567"/>
        <w:jc w:val="both"/>
        <w:rPr>
          <w:rFonts w:ascii="Arial" w:hAnsi="Arial" w:cs="Arial"/>
          <w:sz w:val="20"/>
          <w:szCs w:val="20"/>
        </w:rPr>
      </w:pPr>
      <w:r>
        <w:rPr>
          <w:rFonts w:ascii="Arial" w:hAnsi="Arial" w:cs="Arial"/>
          <w:sz w:val="20"/>
          <w:szCs w:val="20"/>
        </w:rPr>
        <w:t>ANTIMICOTICOS SISTEMICOS DE USO ORAL</w:t>
      </w:r>
    </w:p>
    <w:p w:rsidR="00083A70" w:rsidRDefault="00083A70" w:rsidP="00083A70">
      <w:pPr>
        <w:ind w:firstLine="567"/>
        <w:jc w:val="both"/>
        <w:rPr>
          <w:rFonts w:ascii="Arial" w:hAnsi="Arial" w:cs="Arial"/>
          <w:sz w:val="20"/>
          <w:szCs w:val="20"/>
        </w:rPr>
      </w:pPr>
      <w:r>
        <w:rPr>
          <w:rFonts w:ascii="Arial" w:hAnsi="Arial" w:cs="Arial"/>
          <w:sz w:val="20"/>
          <w:szCs w:val="20"/>
        </w:rPr>
        <w:t>ANTINEOPLASICO</w:t>
      </w:r>
    </w:p>
    <w:p w:rsidR="00083A70" w:rsidRDefault="00083A70" w:rsidP="00083A70">
      <w:pPr>
        <w:ind w:firstLine="567"/>
        <w:jc w:val="both"/>
        <w:rPr>
          <w:rFonts w:ascii="Arial" w:hAnsi="Arial" w:cs="Arial"/>
          <w:sz w:val="20"/>
          <w:szCs w:val="20"/>
        </w:rPr>
      </w:pPr>
      <w:r>
        <w:rPr>
          <w:rFonts w:ascii="Arial" w:hAnsi="Arial" w:cs="Arial"/>
          <w:sz w:val="20"/>
          <w:szCs w:val="20"/>
        </w:rPr>
        <w:t>ANTINEOPLASICOS CITOTOXICOS</w:t>
      </w:r>
    </w:p>
    <w:p w:rsidR="00083A70" w:rsidRDefault="00083A70" w:rsidP="00083A70">
      <w:pPr>
        <w:ind w:firstLine="567"/>
        <w:jc w:val="both"/>
        <w:rPr>
          <w:rFonts w:ascii="Arial" w:hAnsi="Arial" w:cs="Arial"/>
          <w:sz w:val="20"/>
          <w:szCs w:val="20"/>
        </w:rPr>
      </w:pPr>
      <w:r>
        <w:rPr>
          <w:rFonts w:ascii="Arial" w:hAnsi="Arial" w:cs="Arial"/>
          <w:sz w:val="20"/>
          <w:szCs w:val="20"/>
        </w:rPr>
        <w:t>ANTINFECCIOSOS</w:t>
      </w:r>
    </w:p>
    <w:p w:rsidR="00083A70" w:rsidRDefault="00083A70" w:rsidP="00083A70">
      <w:pPr>
        <w:ind w:firstLine="567"/>
        <w:jc w:val="both"/>
        <w:rPr>
          <w:rFonts w:ascii="Arial" w:hAnsi="Arial" w:cs="Arial"/>
          <w:sz w:val="20"/>
          <w:szCs w:val="20"/>
        </w:rPr>
      </w:pPr>
      <w:r>
        <w:rPr>
          <w:rFonts w:ascii="Arial" w:hAnsi="Arial" w:cs="Arial"/>
          <w:sz w:val="20"/>
          <w:szCs w:val="20"/>
        </w:rPr>
        <w:t>ANTIPARASITA RIOS</w:t>
      </w:r>
    </w:p>
    <w:p w:rsidR="00083A70" w:rsidRDefault="00083A70" w:rsidP="00083A70">
      <w:pPr>
        <w:ind w:firstLine="567"/>
        <w:jc w:val="both"/>
        <w:rPr>
          <w:rFonts w:ascii="Arial" w:hAnsi="Arial" w:cs="Arial"/>
          <w:sz w:val="20"/>
          <w:szCs w:val="20"/>
        </w:rPr>
      </w:pPr>
      <w:r>
        <w:rPr>
          <w:rFonts w:ascii="Arial" w:hAnsi="Arial" w:cs="Arial"/>
          <w:sz w:val="20"/>
          <w:szCs w:val="20"/>
        </w:rPr>
        <w:t>ANTITIREOIDEANOS</w:t>
      </w:r>
    </w:p>
    <w:p w:rsidR="00083A70" w:rsidRDefault="00083A70" w:rsidP="00083A70">
      <w:pPr>
        <w:ind w:firstLine="567"/>
        <w:jc w:val="both"/>
        <w:rPr>
          <w:rFonts w:ascii="Arial" w:hAnsi="Arial" w:cs="Arial"/>
          <w:sz w:val="20"/>
          <w:szCs w:val="20"/>
        </w:rPr>
      </w:pPr>
      <w:r>
        <w:rPr>
          <w:rFonts w:ascii="Arial" w:hAnsi="Arial" w:cs="Arial"/>
          <w:sz w:val="20"/>
          <w:szCs w:val="20"/>
        </w:rPr>
        <w:t>ANTIVIROTICOS</w:t>
      </w:r>
    </w:p>
    <w:p w:rsidR="00083A70" w:rsidRDefault="00083A70" w:rsidP="00083A70">
      <w:pPr>
        <w:ind w:firstLine="567"/>
        <w:jc w:val="both"/>
        <w:rPr>
          <w:rFonts w:ascii="Arial" w:hAnsi="Arial" w:cs="Arial"/>
          <w:sz w:val="20"/>
          <w:szCs w:val="20"/>
        </w:rPr>
      </w:pPr>
      <w:r>
        <w:rPr>
          <w:rFonts w:ascii="Arial" w:hAnsi="Arial" w:cs="Arial"/>
          <w:sz w:val="20"/>
          <w:szCs w:val="20"/>
        </w:rPr>
        <w:t>ANTIVIROTICOS (INIBE REPLICACAO VIROTICA)</w:t>
      </w:r>
    </w:p>
    <w:p w:rsidR="00083A70" w:rsidRDefault="00083A70" w:rsidP="00083A70">
      <w:pPr>
        <w:ind w:firstLine="567"/>
        <w:jc w:val="both"/>
        <w:rPr>
          <w:rFonts w:ascii="Arial" w:hAnsi="Arial" w:cs="Arial"/>
          <w:sz w:val="20"/>
          <w:szCs w:val="20"/>
        </w:rPr>
      </w:pPr>
      <w:r>
        <w:rPr>
          <w:rFonts w:ascii="Arial" w:hAnsi="Arial" w:cs="Arial"/>
          <w:sz w:val="20"/>
          <w:szCs w:val="20"/>
        </w:rPr>
        <w:t>CEFALOSPORINAS</w:t>
      </w:r>
    </w:p>
    <w:p w:rsidR="00083A70" w:rsidRDefault="00083A70" w:rsidP="00083A70">
      <w:pPr>
        <w:ind w:firstLine="567"/>
        <w:jc w:val="both"/>
        <w:rPr>
          <w:rFonts w:ascii="Arial" w:hAnsi="Arial" w:cs="Arial"/>
          <w:sz w:val="20"/>
          <w:szCs w:val="20"/>
        </w:rPr>
      </w:pPr>
      <w:r>
        <w:rPr>
          <w:rFonts w:ascii="Arial" w:hAnsi="Arial" w:cs="Arial"/>
          <w:sz w:val="20"/>
          <w:szCs w:val="20"/>
        </w:rPr>
        <w:t>CITOSTATICOS ALQUILANTES</w:t>
      </w:r>
    </w:p>
    <w:p w:rsidR="00083A70" w:rsidRDefault="00083A70" w:rsidP="00083A70">
      <w:pPr>
        <w:ind w:firstLine="567"/>
        <w:jc w:val="both"/>
        <w:rPr>
          <w:rFonts w:ascii="Arial" w:hAnsi="Arial" w:cs="Arial"/>
          <w:sz w:val="20"/>
          <w:szCs w:val="20"/>
        </w:rPr>
      </w:pPr>
      <w:r>
        <w:rPr>
          <w:rFonts w:ascii="Arial" w:hAnsi="Arial" w:cs="Arial"/>
          <w:sz w:val="20"/>
          <w:szCs w:val="20"/>
        </w:rPr>
        <w:t>CLASSE DAS TETRACICLINAS</w:t>
      </w:r>
    </w:p>
    <w:p w:rsidR="00083A70" w:rsidRDefault="00083A70" w:rsidP="00083A70">
      <w:pPr>
        <w:ind w:firstLine="567"/>
        <w:jc w:val="both"/>
        <w:rPr>
          <w:rFonts w:ascii="Arial" w:hAnsi="Arial" w:cs="Arial"/>
          <w:sz w:val="20"/>
          <w:szCs w:val="20"/>
        </w:rPr>
      </w:pPr>
      <w:r>
        <w:rPr>
          <w:rFonts w:ascii="Arial" w:hAnsi="Arial" w:cs="Arial"/>
          <w:sz w:val="20"/>
          <w:szCs w:val="20"/>
        </w:rPr>
        <w:t>CLORANFENICOL E ANALOGOS</w:t>
      </w:r>
    </w:p>
    <w:p w:rsidR="00083A70" w:rsidRDefault="00083A70" w:rsidP="00083A70">
      <w:pPr>
        <w:ind w:firstLine="567"/>
        <w:jc w:val="both"/>
        <w:rPr>
          <w:rFonts w:ascii="Arial" w:hAnsi="Arial" w:cs="Arial"/>
          <w:sz w:val="20"/>
          <w:szCs w:val="20"/>
        </w:rPr>
      </w:pPr>
      <w:r>
        <w:rPr>
          <w:rFonts w:ascii="Arial" w:hAnsi="Arial" w:cs="Arial"/>
          <w:sz w:val="20"/>
          <w:szCs w:val="20"/>
        </w:rPr>
        <w:t>ESTROGENOS ASSOCS A OUTROS FARMACOS EXCLUSIVE ANDROGENOS</w:t>
      </w:r>
    </w:p>
    <w:p w:rsidR="00083A70" w:rsidRDefault="00083A70" w:rsidP="00083A70">
      <w:pPr>
        <w:ind w:firstLine="567"/>
        <w:jc w:val="both"/>
        <w:rPr>
          <w:rFonts w:ascii="Arial" w:hAnsi="Arial" w:cs="Arial"/>
          <w:sz w:val="20"/>
          <w:szCs w:val="20"/>
        </w:rPr>
      </w:pPr>
      <w:r>
        <w:rPr>
          <w:rFonts w:ascii="Arial" w:hAnsi="Arial" w:cs="Arial"/>
          <w:sz w:val="20"/>
          <w:szCs w:val="20"/>
        </w:rPr>
        <w:t>ESTROGENOS SIMPLES</w:t>
      </w:r>
    </w:p>
    <w:p w:rsidR="00083A70" w:rsidRDefault="00083A70" w:rsidP="00083A70">
      <w:pPr>
        <w:ind w:firstLine="567"/>
        <w:jc w:val="both"/>
        <w:rPr>
          <w:rFonts w:ascii="Arial" w:hAnsi="Arial" w:cs="Arial"/>
          <w:sz w:val="20"/>
          <w:szCs w:val="20"/>
        </w:rPr>
      </w:pPr>
      <w:r>
        <w:rPr>
          <w:rFonts w:ascii="Arial" w:hAnsi="Arial" w:cs="Arial"/>
          <w:sz w:val="20"/>
          <w:szCs w:val="20"/>
        </w:rPr>
        <w:t>FENOXIPENICILINAS</w:t>
      </w:r>
    </w:p>
    <w:p w:rsidR="00083A70" w:rsidRDefault="00083A70" w:rsidP="00083A70">
      <w:pPr>
        <w:ind w:firstLine="567"/>
        <w:jc w:val="both"/>
        <w:rPr>
          <w:rFonts w:ascii="Arial" w:hAnsi="Arial" w:cs="Arial"/>
          <w:sz w:val="20"/>
          <w:szCs w:val="20"/>
        </w:rPr>
      </w:pPr>
      <w:r>
        <w:rPr>
          <w:rFonts w:ascii="Arial" w:hAnsi="Arial" w:cs="Arial"/>
          <w:sz w:val="20"/>
          <w:szCs w:val="20"/>
        </w:rPr>
        <w:t>HANSENOSTATICOS</w:t>
      </w:r>
    </w:p>
    <w:p w:rsidR="00083A70" w:rsidRDefault="00083A70" w:rsidP="00083A70">
      <w:pPr>
        <w:ind w:firstLine="567"/>
        <w:jc w:val="both"/>
        <w:rPr>
          <w:rFonts w:ascii="Arial" w:hAnsi="Arial" w:cs="Arial"/>
          <w:sz w:val="20"/>
          <w:szCs w:val="20"/>
        </w:rPr>
      </w:pPr>
      <w:r>
        <w:rPr>
          <w:rFonts w:ascii="Arial" w:hAnsi="Arial" w:cs="Arial"/>
          <w:sz w:val="20"/>
          <w:szCs w:val="20"/>
        </w:rPr>
        <w:t>HORMONIOS DA TIREOIDE E ANTITIREOIDEANOS</w:t>
      </w:r>
    </w:p>
    <w:p w:rsidR="00083A70" w:rsidRDefault="00083A70" w:rsidP="00083A70">
      <w:pPr>
        <w:ind w:firstLine="567"/>
        <w:jc w:val="both"/>
        <w:rPr>
          <w:rFonts w:ascii="Arial" w:hAnsi="Arial" w:cs="Arial"/>
          <w:sz w:val="20"/>
          <w:szCs w:val="20"/>
        </w:rPr>
      </w:pPr>
      <w:r>
        <w:rPr>
          <w:rFonts w:ascii="Arial" w:hAnsi="Arial" w:cs="Arial"/>
          <w:sz w:val="20"/>
          <w:szCs w:val="20"/>
        </w:rPr>
        <w:t>HORMONIOS SEXUAIS EXCLUSIVE OCITOCICOS</w:t>
      </w:r>
    </w:p>
    <w:p w:rsidR="00083A70" w:rsidRDefault="00083A70" w:rsidP="00083A70">
      <w:pPr>
        <w:ind w:firstLine="567"/>
        <w:jc w:val="both"/>
        <w:rPr>
          <w:rFonts w:ascii="Arial" w:hAnsi="Arial" w:cs="Arial"/>
          <w:sz w:val="20"/>
          <w:szCs w:val="20"/>
        </w:rPr>
      </w:pPr>
      <w:r>
        <w:rPr>
          <w:rFonts w:ascii="Arial" w:hAnsi="Arial" w:cs="Arial"/>
          <w:sz w:val="20"/>
          <w:szCs w:val="20"/>
        </w:rPr>
        <w:t>HORMONIOS TIREOIDEANOS SIMPLES OU ASSOCIADOS ENTRE SI</w:t>
      </w:r>
    </w:p>
    <w:p w:rsidR="00083A70" w:rsidRDefault="00083A70" w:rsidP="00083A70">
      <w:pPr>
        <w:ind w:firstLine="567"/>
        <w:jc w:val="both"/>
        <w:rPr>
          <w:rFonts w:ascii="Arial" w:hAnsi="Arial" w:cs="Arial"/>
          <w:sz w:val="20"/>
          <w:szCs w:val="20"/>
        </w:rPr>
      </w:pPr>
      <w:r>
        <w:rPr>
          <w:rFonts w:ascii="Arial" w:hAnsi="Arial" w:cs="Arial"/>
          <w:sz w:val="20"/>
          <w:szCs w:val="20"/>
        </w:rPr>
        <w:t>IMUNODEPRESSOR</w:t>
      </w:r>
    </w:p>
    <w:p w:rsidR="00083A70" w:rsidRDefault="00083A70" w:rsidP="00083A70">
      <w:pPr>
        <w:ind w:firstLine="567"/>
        <w:jc w:val="both"/>
        <w:rPr>
          <w:rFonts w:ascii="Arial" w:hAnsi="Arial" w:cs="Arial"/>
          <w:sz w:val="20"/>
          <w:szCs w:val="20"/>
        </w:rPr>
      </w:pPr>
      <w:r>
        <w:rPr>
          <w:rFonts w:ascii="Arial" w:hAnsi="Arial" w:cs="Arial"/>
          <w:sz w:val="20"/>
          <w:szCs w:val="20"/>
        </w:rPr>
        <w:t>IMUNOSUPRESSOR</w:t>
      </w:r>
    </w:p>
    <w:p w:rsidR="00083A70" w:rsidRDefault="00083A70" w:rsidP="00083A70">
      <w:pPr>
        <w:ind w:firstLine="567"/>
        <w:jc w:val="both"/>
        <w:rPr>
          <w:rFonts w:ascii="Arial" w:hAnsi="Arial" w:cs="Arial"/>
          <w:sz w:val="20"/>
          <w:szCs w:val="20"/>
        </w:rPr>
      </w:pPr>
      <w:r>
        <w:rPr>
          <w:rFonts w:ascii="Arial" w:hAnsi="Arial" w:cs="Arial"/>
          <w:sz w:val="20"/>
          <w:szCs w:val="20"/>
        </w:rPr>
        <w:t>MACROLIDEOS</w:t>
      </w:r>
    </w:p>
    <w:p w:rsidR="00083A70" w:rsidRDefault="00083A70" w:rsidP="00083A70">
      <w:pPr>
        <w:ind w:firstLine="567"/>
        <w:jc w:val="both"/>
        <w:rPr>
          <w:rFonts w:ascii="Arial" w:hAnsi="Arial" w:cs="Arial"/>
          <w:sz w:val="20"/>
          <w:szCs w:val="20"/>
        </w:rPr>
      </w:pPr>
      <w:r>
        <w:rPr>
          <w:rFonts w:ascii="Arial" w:hAnsi="Arial" w:cs="Arial"/>
          <w:sz w:val="20"/>
          <w:szCs w:val="20"/>
        </w:rPr>
        <w:t>OCITOCICOS HORMONAIS</w:t>
      </w:r>
    </w:p>
    <w:p w:rsidR="00083A70" w:rsidRDefault="00083A70" w:rsidP="00083A70">
      <w:pPr>
        <w:ind w:firstLine="567"/>
        <w:jc w:val="both"/>
        <w:rPr>
          <w:rFonts w:ascii="Arial" w:hAnsi="Arial" w:cs="Arial"/>
          <w:sz w:val="20"/>
          <w:szCs w:val="20"/>
        </w:rPr>
      </w:pPr>
      <w:r>
        <w:rPr>
          <w:rFonts w:ascii="Arial" w:hAnsi="Arial" w:cs="Arial"/>
          <w:sz w:val="20"/>
          <w:szCs w:val="20"/>
        </w:rPr>
        <w:t>OUTROS ANTINEOPLASICOS</w:t>
      </w:r>
    </w:p>
    <w:p w:rsidR="00083A70" w:rsidRDefault="00083A70" w:rsidP="00083A70">
      <w:pPr>
        <w:ind w:firstLine="567"/>
        <w:jc w:val="both"/>
        <w:rPr>
          <w:rFonts w:ascii="Arial" w:hAnsi="Arial" w:cs="Arial"/>
          <w:sz w:val="20"/>
          <w:szCs w:val="20"/>
        </w:rPr>
      </w:pPr>
      <w:r>
        <w:rPr>
          <w:rFonts w:ascii="Arial" w:hAnsi="Arial" w:cs="Arial"/>
          <w:sz w:val="20"/>
          <w:szCs w:val="20"/>
        </w:rPr>
        <w:t>OUTROS ANTIPARASITARIOS PARA AFECCOES INTERNAS</w:t>
      </w:r>
    </w:p>
    <w:p w:rsidR="00083A70" w:rsidRDefault="00083A70" w:rsidP="00083A70">
      <w:pPr>
        <w:ind w:firstLine="567"/>
        <w:jc w:val="both"/>
        <w:rPr>
          <w:rFonts w:ascii="Arial" w:hAnsi="Arial" w:cs="Arial"/>
          <w:sz w:val="20"/>
          <w:szCs w:val="20"/>
        </w:rPr>
      </w:pPr>
      <w:r>
        <w:rPr>
          <w:rFonts w:ascii="Arial" w:hAnsi="Arial" w:cs="Arial"/>
          <w:sz w:val="20"/>
          <w:szCs w:val="20"/>
        </w:rPr>
        <w:t>OUTROS HORMONIOS MEDIADORES E PRODUTOS EQUIVALENTES</w:t>
      </w:r>
    </w:p>
    <w:p w:rsidR="00083A70" w:rsidRDefault="00083A70" w:rsidP="00083A70">
      <w:pPr>
        <w:ind w:firstLine="567"/>
        <w:jc w:val="both"/>
        <w:rPr>
          <w:rFonts w:ascii="Arial" w:hAnsi="Arial" w:cs="Arial"/>
          <w:sz w:val="20"/>
          <w:szCs w:val="20"/>
        </w:rPr>
      </w:pPr>
      <w:r>
        <w:rPr>
          <w:rFonts w:ascii="Arial" w:hAnsi="Arial" w:cs="Arial"/>
          <w:sz w:val="20"/>
          <w:szCs w:val="20"/>
        </w:rPr>
        <w:t>PENICILINA DE AMPLO ESPECTRO</w:t>
      </w:r>
    </w:p>
    <w:p w:rsidR="00083A70" w:rsidRDefault="00083A70" w:rsidP="00083A70">
      <w:pPr>
        <w:ind w:firstLine="567"/>
        <w:jc w:val="both"/>
        <w:rPr>
          <w:rFonts w:ascii="Arial" w:hAnsi="Arial" w:cs="Arial"/>
          <w:sz w:val="20"/>
          <w:szCs w:val="20"/>
        </w:rPr>
      </w:pPr>
      <w:r>
        <w:rPr>
          <w:rFonts w:ascii="Arial" w:hAnsi="Arial" w:cs="Arial"/>
          <w:sz w:val="20"/>
          <w:szCs w:val="20"/>
        </w:rPr>
        <w:t>PENICILINA G E DERIVADOS (BENZILPENICILINAS)</w:t>
      </w:r>
    </w:p>
    <w:p w:rsidR="00083A70" w:rsidRDefault="00083A70" w:rsidP="00083A70">
      <w:pPr>
        <w:ind w:firstLine="567"/>
        <w:jc w:val="both"/>
        <w:rPr>
          <w:rFonts w:ascii="Arial" w:hAnsi="Arial" w:cs="Arial"/>
          <w:sz w:val="20"/>
          <w:szCs w:val="20"/>
        </w:rPr>
      </w:pPr>
      <w:r>
        <w:rPr>
          <w:rFonts w:ascii="Arial" w:hAnsi="Arial" w:cs="Arial"/>
          <w:sz w:val="20"/>
          <w:szCs w:val="20"/>
        </w:rPr>
        <w:t>PENICILINAS PENICILINASE-RESISTENTES</w:t>
      </w:r>
    </w:p>
    <w:p w:rsidR="00083A70" w:rsidRDefault="00083A70" w:rsidP="00083A70">
      <w:pPr>
        <w:ind w:firstLine="567"/>
        <w:jc w:val="both"/>
        <w:rPr>
          <w:rFonts w:ascii="Arial" w:hAnsi="Arial" w:cs="Arial"/>
          <w:sz w:val="20"/>
          <w:szCs w:val="20"/>
        </w:rPr>
      </w:pPr>
      <w:r>
        <w:rPr>
          <w:rFonts w:ascii="Arial" w:hAnsi="Arial" w:cs="Arial"/>
          <w:sz w:val="20"/>
          <w:szCs w:val="20"/>
        </w:rPr>
        <w:t>PRODUTO PARA TRATAMENTO DA TRICOMONIASE</w:t>
      </w:r>
    </w:p>
    <w:p w:rsidR="00083A70" w:rsidRDefault="00083A70" w:rsidP="00083A70">
      <w:pPr>
        <w:ind w:firstLine="567"/>
        <w:jc w:val="both"/>
        <w:rPr>
          <w:rFonts w:ascii="Arial" w:hAnsi="Arial" w:cs="Arial"/>
          <w:sz w:val="20"/>
          <w:szCs w:val="20"/>
        </w:rPr>
      </w:pPr>
      <w:r>
        <w:rPr>
          <w:rFonts w:ascii="Arial" w:hAnsi="Arial" w:cs="Arial"/>
          <w:sz w:val="20"/>
          <w:szCs w:val="20"/>
        </w:rPr>
        <w:t>RIFAMPICINAS</w:t>
      </w:r>
    </w:p>
    <w:p w:rsidR="00083A70" w:rsidRDefault="00083A70" w:rsidP="00083A70">
      <w:pPr>
        <w:ind w:firstLine="567"/>
        <w:jc w:val="both"/>
        <w:rPr>
          <w:rFonts w:ascii="Arial" w:hAnsi="Arial" w:cs="Arial"/>
          <w:sz w:val="20"/>
          <w:szCs w:val="20"/>
        </w:rPr>
      </w:pPr>
      <w:r>
        <w:rPr>
          <w:rFonts w:ascii="Arial" w:hAnsi="Arial" w:cs="Arial"/>
          <w:sz w:val="20"/>
          <w:szCs w:val="20"/>
        </w:rPr>
        <w:t>SULFAS</w:t>
      </w:r>
    </w:p>
    <w:p w:rsidR="00083A70" w:rsidRDefault="00083A70" w:rsidP="00083A70">
      <w:pPr>
        <w:ind w:firstLine="567"/>
        <w:jc w:val="both"/>
        <w:rPr>
          <w:rFonts w:ascii="Arial" w:hAnsi="Arial" w:cs="Arial"/>
          <w:sz w:val="20"/>
          <w:szCs w:val="20"/>
        </w:rPr>
      </w:pPr>
      <w:r>
        <w:rPr>
          <w:rFonts w:ascii="Arial" w:hAnsi="Arial" w:cs="Arial"/>
          <w:sz w:val="20"/>
          <w:szCs w:val="20"/>
        </w:rPr>
        <w:t>SULFAS SIMPLES</w:t>
      </w:r>
    </w:p>
    <w:p w:rsidR="00083A70" w:rsidRDefault="00083A70" w:rsidP="00083A70">
      <w:pPr>
        <w:ind w:firstLine="567"/>
        <w:jc w:val="both"/>
        <w:rPr>
          <w:rFonts w:ascii="Arial" w:hAnsi="Arial" w:cs="Arial"/>
          <w:sz w:val="20"/>
          <w:szCs w:val="20"/>
        </w:rPr>
      </w:pPr>
      <w:r>
        <w:rPr>
          <w:rFonts w:ascii="Arial" w:hAnsi="Arial" w:cs="Arial"/>
          <w:sz w:val="20"/>
          <w:szCs w:val="20"/>
        </w:rPr>
        <w:t>TRIMETOPRIMA EM ASSOCIACAO COM SULFAS</w:t>
      </w:r>
    </w:p>
    <w:p w:rsidR="00083A70" w:rsidRDefault="00083A70" w:rsidP="00083A70">
      <w:pPr>
        <w:ind w:firstLine="567"/>
        <w:jc w:val="both"/>
        <w:rPr>
          <w:rFonts w:ascii="Arial" w:hAnsi="Arial" w:cs="Arial"/>
          <w:sz w:val="20"/>
          <w:szCs w:val="20"/>
        </w:rPr>
      </w:pPr>
      <w:r>
        <w:rPr>
          <w:rFonts w:ascii="Arial" w:hAnsi="Arial" w:cs="Arial"/>
          <w:sz w:val="20"/>
          <w:szCs w:val="20"/>
        </w:rPr>
        <w:t>TUBERCULOSTATICOS</w:t>
      </w:r>
    </w:p>
    <w:p w:rsidR="00083A70" w:rsidRDefault="00083A70" w:rsidP="00083A70">
      <w:pPr>
        <w:ind w:firstLine="567"/>
        <w:jc w:val="both"/>
        <w:rPr>
          <w:rFonts w:ascii="Arial" w:hAnsi="Arial" w:cs="Arial"/>
          <w:sz w:val="20"/>
          <w:szCs w:val="20"/>
        </w:rPr>
      </w:pPr>
      <w:r>
        <w:rPr>
          <w:rFonts w:ascii="Arial" w:hAnsi="Arial" w:cs="Arial"/>
          <w:sz w:val="20"/>
          <w:szCs w:val="20"/>
        </w:rPr>
        <w:t>TUBERCULOSTATICOS E HANSENOSTATICOS</w:t>
      </w:r>
    </w:p>
    <w:p w:rsidR="00083A70" w:rsidRDefault="00083A70" w:rsidP="00083A70">
      <w:pPr>
        <w:jc w:val="both"/>
        <w:rPr>
          <w:rFonts w:ascii="Arial" w:hAnsi="Arial" w:cs="Arial"/>
          <w:sz w:val="20"/>
          <w:szCs w:val="20"/>
        </w:rPr>
      </w:pPr>
    </w:p>
    <w:p w:rsidR="00083A70" w:rsidRDefault="00083A70" w:rsidP="00083A70">
      <w:pPr>
        <w:jc w:val="both"/>
        <w:rPr>
          <w:rFonts w:ascii="Arial" w:hAnsi="Arial" w:cs="Arial"/>
          <w:sz w:val="20"/>
          <w:szCs w:val="20"/>
        </w:rPr>
      </w:pPr>
    </w:p>
    <w:p w:rsidR="00083A70" w:rsidRDefault="00083A70" w:rsidP="00083A70">
      <w:pPr>
        <w:jc w:val="both"/>
        <w:rPr>
          <w:rFonts w:ascii="Arial" w:hAnsi="Arial" w:cs="Arial"/>
          <w:sz w:val="20"/>
          <w:szCs w:val="20"/>
        </w:rPr>
      </w:pPr>
    </w:p>
    <w:p w:rsidR="00083A70" w:rsidRDefault="00083A70" w:rsidP="00083A70">
      <w:pPr>
        <w:jc w:val="both"/>
        <w:rPr>
          <w:rFonts w:ascii="Arial" w:hAnsi="Arial" w:cs="Arial"/>
          <w:sz w:val="20"/>
          <w:szCs w:val="20"/>
        </w:rPr>
      </w:pPr>
    </w:p>
    <w:p w:rsidR="00083A70" w:rsidRDefault="00083A70" w:rsidP="00083A70">
      <w:pPr>
        <w:rPr>
          <w:rFonts w:ascii="Arial" w:hAnsi="Arial" w:cs="Arial"/>
          <w:sz w:val="20"/>
          <w:szCs w:val="20"/>
        </w:rPr>
      </w:pPr>
      <w:r>
        <w:rPr>
          <w:rFonts w:ascii="Arial" w:hAnsi="Arial" w:cs="Arial"/>
          <w:sz w:val="20"/>
          <w:szCs w:val="20"/>
        </w:rPr>
        <w:t xml:space="preserve">Anexo II </w:t>
      </w:r>
    </w:p>
    <w:p w:rsidR="00083A70" w:rsidRDefault="00083A70" w:rsidP="00083A70">
      <w:pPr>
        <w:rPr>
          <w:rFonts w:ascii="Arial" w:hAnsi="Arial" w:cs="Arial"/>
          <w:sz w:val="20"/>
          <w:szCs w:val="20"/>
        </w:rPr>
      </w:pPr>
      <w:r>
        <w:rPr>
          <w:rFonts w:ascii="Arial" w:hAnsi="Arial" w:cs="Arial"/>
          <w:sz w:val="20"/>
          <w:szCs w:val="20"/>
        </w:rPr>
        <w:t>Segundo escalão de classes terapêuticas</w:t>
      </w:r>
    </w:p>
    <w:p w:rsidR="00083A70" w:rsidRDefault="00083A70" w:rsidP="00083A70">
      <w:pPr>
        <w:rPr>
          <w:rFonts w:ascii="Arial" w:hAnsi="Arial" w:cs="Arial"/>
          <w:sz w:val="20"/>
          <w:szCs w:val="20"/>
        </w:rPr>
      </w:pPr>
    </w:p>
    <w:p w:rsidR="00083A70" w:rsidRDefault="00083A70" w:rsidP="00083A70">
      <w:pPr>
        <w:ind w:firstLine="567"/>
        <w:jc w:val="both"/>
        <w:rPr>
          <w:rFonts w:ascii="Arial" w:hAnsi="Arial" w:cs="Arial"/>
          <w:sz w:val="20"/>
          <w:szCs w:val="20"/>
        </w:rPr>
      </w:pPr>
      <w:r>
        <w:rPr>
          <w:rFonts w:ascii="Arial" w:hAnsi="Arial" w:cs="Arial"/>
          <w:sz w:val="20"/>
          <w:szCs w:val="20"/>
        </w:rPr>
        <w:t>AGENTES BETABLOQUEADORES</w:t>
      </w:r>
    </w:p>
    <w:p w:rsidR="00083A70" w:rsidRDefault="00083A70" w:rsidP="00083A70">
      <w:pPr>
        <w:ind w:firstLine="567"/>
        <w:jc w:val="both"/>
        <w:rPr>
          <w:rFonts w:ascii="Arial" w:hAnsi="Arial" w:cs="Arial"/>
          <w:sz w:val="20"/>
          <w:szCs w:val="20"/>
        </w:rPr>
      </w:pPr>
      <w:r>
        <w:rPr>
          <w:rFonts w:ascii="Arial" w:hAnsi="Arial" w:cs="Arial"/>
          <w:sz w:val="20"/>
          <w:szCs w:val="20"/>
        </w:rPr>
        <w:t>ANALGESICOS CONTRA ENXAQUECA</w:t>
      </w:r>
    </w:p>
    <w:p w:rsidR="00083A70" w:rsidRDefault="00083A70" w:rsidP="00083A70">
      <w:pPr>
        <w:ind w:firstLine="567"/>
        <w:jc w:val="both"/>
        <w:rPr>
          <w:rFonts w:ascii="Arial" w:hAnsi="Arial" w:cs="Arial"/>
          <w:sz w:val="20"/>
          <w:szCs w:val="20"/>
        </w:rPr>
      </w:pPr>
      <w:r>
        <w:rPr>
          <w:rFonts w:ascii="Arial" w:hAnsi="Arial" w:cs="Arial"/>
          <w:sz w:val="20"/>
          <w:szCs w:val="20"/>
        </w:rPr>
        <w:t>ANALGESICOS NAO NARCOTICOS</w:t>
      </w:r>
    </w:p>
    <w:p w:rsidR="00083A70" w:rsidRDefault="00083A70" w:rsidP="00083A70">
      <w:pPr>
        <w:ind w:firstLine="567"/>
        <w:jc w:val="both"/>
        <w:rPr>
          <w:rFonts w:ascii="Arial" w:hAnsi="Arial" w:cs="Arial"/>
          <w:sz w:val="20"/>
          <w:szCs w:val="20"/>
        </w:rPr>
      </w:pPr>
      <w:r>
        <w:rPr>
          <w:rFonts w:ascii="Arial" w:hAnsi="Arial" w:cs="Arial"/>
          <w:sz w:val="20"/>
          <w:szCs w:val="20"/>
        </w:rPr>
        <w:t>ANDROGENOS SIMPLES</w:t>
      </w:r>
    </w:p>
    <w:p w:rsidR="00083A70" w:rsidRDefault="00083A70" w:rsidP="00083A70">
      <w:pPr>
        <w:ind w:firstLine="567"/>
        <w:jc w:val="both"/>
        <w:rPr>
          <w:rFonts w:ascii="Arial" w:hAnsi="Arial" w:cs="Arial"/>
          <w:sz w:val="20"/>
          <w:szCs w:val="20"/>
        </w:rPr>
      </w:pPr>
      <w:r>
        <w:rPr>
          <w:rFonts w:ascii="Arial" w:hAnsi="Arial" w:cs="Arial"/>
          <w:sz w:val="20"/>
          <w:szCs w:val="20"/>
        </w:rPr>
        <w:t>ANSIOLITICOS SIMPLES</w:t>
      </w:r>
    </w:p>
    <w:p w:rsidR="00083A70" w:rsidRDefault="00083A70" w:rsidP="00083A70">
      <w:pPr>
        <w:ind w:firstLine="567"/>
        <w:jc w:val="both"/>
        <w:rPr>
          <w:rFonts w:ascii="Arial" w:hAnsi="Arial" w:cs="Arial"/>
          <w:sz w:val="20"/>
          <w:szCs w:val="20"/>
        </w:rPr>
      </w:pPr>
      <w:r>
        <w:rPr>
          <w:rFonts w:ascii="Arial" w:hAnsi="Arial" w:cs="Arial"/>
          <w:sz w:val="20"/>
          <w:szCs w:val="20"/>
        </w:rPr>
        <w:t>ANTIACIDO</w:t>
      </w:r>
    </w:p>
    <w:p w:rsidR="00083A70" w:rsidRDefault="00083A70" w:rsidP="00083A70">
      <w:pPr>
        <w:ind w:firstLine="567"/>
        <w:jc w:val="both"/>
        <w:rPr>
          <w:rFonts w:ascii="Arial" w:hAnsi="Arial" w:cs="Arial"/>
          <w:sz w:val="20"/>
          <w:szCs w:val="20"/>
        </w:rPr>
      </w:pPr>
      <w:r>
        <w:rPr>
          <w:rFonts w:ascii="Arial" w:hAnsi="Arial" w:cs="Arial"/>
          <w:sz w:val="20"/>
          <w:szCs w:val="20"/>
        </w:rPr>
        <w:t>ANTIACIDOS E ANTIULCEROSOS</w:t>
      </w:r>
    </w:p>
    <w:p w:rsidR="00083A70" w:rsidRDefault="00083A70" w:rsidP="00083A70">
      <w:pPr>
        <w:ind w:firstLine="567"/>
        <w:jc w:val="both"/>
        <w:rPr>
          <w:rFonts w:ascii="Arial" w:hAnsi="Arial" w:cs="Arial"/>
          <w:sz w:val="20"/>
          <w:szCs w:val="20"/>
        </w:rPr>
      </w:pPr>
      <w:r>
        <w:rPr>
          <w:rFonts w:ascii="Arial" w:hAnsi="Arial" w:cs="Arial"/>
          <w:sz w:val="20"/>
          <w:szCs w:val="20"/>
        </w:rPr>
        <w:t>ANTIACIDOS E ANTIULCEROSOS ASSOCIADOS</w:t>
      </w:r>
    </w:p>
    <w:p w:rsidR="00083A70" w:rsidRDefault="00083A70" w:rsidP="00083A70">
      <w:pPr>
        <w:ind w:firstLine="567"/>
        <w:jc w:val="both"/>
        <w:rPr>
          <w:rFonts w:ascii="Arial" w:hAnsi="Arial" w:cs="Arial"/>
          <w:sz w:val="20"/>
          <w:szCs w:val="20"/>
        </w:rPr>
      </w:pPr>
      <w:r>
        <w:rPr>
          <w:rFonts w:ascii="Arial" w:hAnsi="Arial" w:cs="Arial"/>
          <w:sz w:val="20"/>
          <w:szCs w:val="20"/>
        </w:rPr>
        <w:t>ANTIACIDOS E ANTIULCEROSOS SIMPLES</w:t>
      </w:r>
    </w:p>
    <w:p w:rsidR="00083A70" w:rsidRDefault="00083A70" w:rsidP="00083A70">
      <w:pPr>
        <w:ind w:firstLine="567"/>
        <w:jc w:val="both"/>
        <w:rPr>
          <w:rFonts w:ascii="Arial" w:hAnsi="Arial" w:cs="Arial"/>
          <w:sz w:val="20"/>
          <w:szCs w:val="20"/>
        </w:rPr>
      </w:pPr>
      <w:r>
        <w:rPr>
          <w:rFonts w:ascii="Arial" w:hAnsi="Arial" w:cs="Arial"/>
          <w:sz w:val="20"/>
          <w:szCs w:val="20"/>
        </w:rPr>
        <w:t>ANTIAGREGANTE PLAQUETARIO</w:t>
      </w:r>
    </w:p>
    <w:p w:rsidR="00083A70" w:rsidRDefault="00083A70" w:rsidP="00083A70">
      <w:pPr>
        <w:ind w:firstLine="567"/>
        <w:jc w:val="both"/>
        <w:rPr>
          <w:rFonts w:ascii="Arial" w:hAnsi="Arial" w:cs="Arial"/>
          <w:sz w:val="20"/>
          <w:szCs w:val="20"/>
        </w:rPr>
      </w:pPr>
      <w:r>
        <w:rPr>
          <w:rFonts w:ascii="Arial" w:hAnsi="Arial" w:cs="Arial"/>
          <w:sz w:val="20"/>
          <w:szCs w:val="20"/>
        </w:rPr>
        <w:t>ANTIASMATICOS</w:t>
      </w:r>
    </w:p>
    <w:p w:rsidR="00083A70" w:rsidRDefault="00083A70" w:rsidP="00083A70">
      <w:pPr>
        <w:ind w:firstLine="567"/>
        <w:jc w:val="both"/>
        <w:rPr>
          <w:rFonts w:ascii="Arial" w:hAnsi="Arial" w:cs="Arial"/>
          <w:sz w:val="20"/>
          <w:szCs w:val="20"/>
        </w:rPr>
      </w:pPr>
      <w:r>
        <w:rPr>
          <w:rFonts w:ascii="Arial" w:hAnsi="Arial" w:cs="Arial"/>
          <w:sz w:val="20"/>
          <w:szCs w:val="20"/>
        </w:rPr>
        <w:t>ANTICOAGULANTES</w:t>
      </w:r>
    </w:p>
    <w:p w:rsidR="00083A70" w:rsidRDefault="00083A70" w:rsidP="00083A70">
      <w:pPr>
        <w:ind w:firstLine="567"/>
        <w:jc w:val="both"/>
        <w:rPr>
          <w:rFonts w:ascii="Arial" w:hAnsi="Arial" w:cs="Arial"/>
          <w:sz w:val="20"/>
          <w:szCs w:val="20"/>
        </w:rPr>
      </w:pPr>
      <w:r>
        <w:rPr>
          <w:rFonts w:ascii="Arial" w:hAnsi="Arial" w:cs="Arial"/>
          <w:sz w:val="20"/>
          <w:szCs w:val="20"/>
        </w:rPr>
        <w:t>ANTICONCEPCIONAIS</w:t>
      </w:r>
    </w:p>
    <w:p w:rsidR="00083A70" w:rsidRDefault="00083A70" w:rsidP="00083A70">
      <w:pPr>
        <w:ind w:firstLine="567"/>
        <w:jc w:val="both"/>
        <w:rPr>
          <w:rFonts w:ascii="Arial" w:hAnsi="Arial" w:cs="Arial"/>
          <w:sz w:val="20"/>
          <w:szCs w:val="20"/>
        </w:rPr>
      </w:pPr>
      <w:r>
        <w:rPr>
          <w:rFonts w:ascii="Arial" w:hAnsi="Arial" w:cs="Arial"/>
          <w:sz w:val="20"/>
          <w:szCs w:val="20"/>
        </w:rPr>
        <w:t>ANTICONVULSIVANTES</w:t>
      </w:r>
    </w:p>
    <w:p w:rsidR="00083A70" w:rsidRDefault="00083A70" w:rsidP="00083A70">
      <w:pPr>
        <w:ind w:firstLine="567"/>
        <w:jc w:val="both"/>
        <w:rPr>
          <w:rFonts w:ascii="Arial" w:hAnsi="Arial" w:cs="Arial"/>
          <w:sz w:val="20"/>
          <w:szCs w:val="20"/>
        </w:rPr>
      </w:pPr>
      <w:r>
        <w:rPr>
          <w:rFonts w:ascii="Arial" w:hAnsi="Arial" w:cs="Arial"/>
          <w:sz w:val="20"/>
          <w:szCs w:val="20"/>
        </w:rPr>
        <w:t>ANTICONVULSIVANTES E ANTIPARKINSONIANOS</w:t>
      </w:r>
    </w:p>
    <w:p w:rsidR="00083A70" w:rsidRDefault="00083A70" w:rsidP="00083A70">
      <w:pPr>
        <w:ind w:firstLine="567"/>
        <w:jc w:val="both"/>
        <w:rPr>
          <w:rFonts w:ascii="Arial" w:hAnsi="Arial" w:cs="Arial"/>
          <w:sz w:val="20"/>
          <w:szCs w:val="20"/>
        </w:rPr>
      </w:pPr>
      <w:r>
        <w:rPr>
          <w:rFonts w:ascii="Arial" w:hAnsi="Arial" w:cs="Arial"/>
          <w:sz w:val="20"/>
          <w:szCs w:val="20"/>
        </w:rPr>
        <w:t>ANTIDEPRESSIVOS</w:t>
      </w:r>
    </w:p>
    <w:p w:rsidR="00083A70" w:rsidRDefault="00083A70" w:rsidP="00083A70">
      <w:pPr>
        <w:ind w:firstLine="567"/>
        <w:jc w:val="both"/>
        <w:rPr>
          <w:rFonts w:ascii="Arial" w:hAnsi="Arial" w:cs="Arial"/>
          <w:sz w:val="20"/>
          <w:szCs w:val="20"/>
        </w:rPr>
      </w:pPr>
      <w:r>
        <w:rPr>
          <w:rFonts w:ascii="Arial" w:hAnsi="Arial" w:cs="Arial"/>
          <w:sz w:val="20"/>
          <w:szCs w:val="20"/>
        </w:rPr>
        <w:t>ANTIDIABETICOS</w:t>
      </w:r>
    </w:p>
    <w:p w:rsidR="00083A70" w:rsidRDefault="00083A70" w:rsidP="00083A70">
      <w:pPr>
        <w:ind w:firstLine="567"/>
        <w:jc w:val="both"/>
        <w:rPr>
          <w:rFonts w:ascii="Arial" w:hAnsi="Arial" w:cs="Arial"/>
          <w:sz w:val="20"/>
          <w:szCs w:val="20"/>
        </w:rPr>
      </w:pPr>
      <w:r>
        <w:rPr>
          <w:rFonts w:ascii="Arial" w:hAnsi="Arial" w:cs="Arial"/>
          <w:sz w:val="20"/>
          <w:szCs w:val="20"/>
        </w:rPr>
        <w:t>ANTIGLAUCOMATOSOS</w:t>
      </w:r>
    </w:p>
    <w:p w:rsidR="00083A70" w:rsidRDefault="00083A70" w:rsidP="00083A70">
      <w:pPr>
        <w:ind w:firstLine="567"/>
        <w:jc w:val="both"/>
        <w:rPr>
          <w:rFonts w:ascii="Arial" w:hAnsi="Arial" w:cs="Arial"/>
          <w:sz w:val="20"/>
          <w:szCs w:val="20"/>
        </w:rPr>
      </w:pPr>
      <w:r>
        <w:rPr>
          <w:rFonts w:ascii="Arial" w:hAnsi="Arial" w:cs="Arial"/>
          <w:sz w:val="20"/>
          <w:szCs w:val="20"/>
        </w:rPr>
        <w:t>ANTIGOTOSOS</w:t>
      </w:r>
    </w:p>
    <w:p w:rsidR="00083A70" w:rsidRDefault="00083A70" w:rsidP="00083A70">
      <w:pPr>
        <w:ind w:firstLine="567"/>
        <w:jc w:val="both"/>
        <w:rPr>
          <w:rFonts w:ascii="Arial" w:hAnsi="Arial" w:cs="Arial"/>
          <w:sz w:val="20"/>
          <w:szCs w:val="20"/>
        </w:rPr>
      </w:pPr>
      <w:r>
        <w:rPr>
          <w:rFonts w:ascii="Arial" w:hAnsi="Arial" w:cs="Arial"/>
          <w:sz w:val="20"/>
          <w:szCs w:val="20"/>
        </w:rPr>
        <w:t>ANTI- HIPERTENSIVOS</w:t>
      </w:r>
    </w:p>
    <w:p w:rsidR="00083A70" w:rsidRDefault="00083A70" w:rsidP="00083A70">
      <w:pPr>
        <w:ind w:firstLine="567"/>
        <w:jc w:val="both"/>
        <w:rPr>
          <w:rFonts w:ascii="Arial" w:hAnsi="Arial" w:cs="Arial"/>
          <w:sz w:val="20"/>
          <w:szCs w:val="20"/>
        </w:rPr>
      </w:pPr>
      <w:r>
        <w:rPr>
          <w:rFonts w:ascii="Arial" w:hAnsi="Arial" w:cs="Arial"/>
          <w:sz w:val="20"/>
          <w:szCs w:val="20"/>
        </w:rPr>
        <w:t>ANTI-HIPERTENSIVOS SIMPLES</w:t>
      </w:r>
    </w:p>
    <w:p w:rsidR="00083A70" w:rsidRDefault="00083A70" w:rsidP="00083A70">
      <w:pPr>
        <w:ind w:firstLine="567"/>
        <w:jc w:val="both"/>
        <w:rPr>
          <w:rFonts w:ascii="Arial" w:hAnsi="Arial" w:cs="Arial"/>
          <w:sz w:val="20"/>
          <w:szCs w:val="20"/>
        </w:rPr>
      </w:pPr>
      <w:r>
        <w:rPr>
          <w:rFonts w:ascii="Arial" w:hAnsi="Arial" w:cs="Arial"/>
          <w:sz w:val="20"/>
          <w:szCs w:val="20"/>
        </w:rPr>
        <w:t>ANTI-HIPERTENSIVOS-ASSOCIACOES MEDICAMENTOSAS</w:t>
      </w:r>
    </w:p>
    <w:p w:rsidR="00083A70" w:rsidRDefault="00083A70" w:rsidP="00083A70">
      <w:pPr>
        <w:ind w:firstLine="567"/>
        <w:jc w:val="both"/>
        <w:rPr>
          <w:rFonts w:ascii="Arial" w:hAnsi="Arial" w:cs="Arial"/>
          <w:sz w:val="20"/>
          <w:szCs w:val="20"/>
        </w:rPr>
      </w:pPr>
      <w:r>
        <w:rPr>
          <w:rFonts w:ascii="Arial" w:hAnsi="Arial" w:cs="Arial"/>
          <w:sz w:val="20"/>
          <w:szCs w:val="20"/>
        </w:rPr>
        <w:t>ANTILIPEMICOS</w:t>
      </w:r>
    </w:p>
    <w:p w:rsidR="00083A70" w:rsidRDefault="00083A70" w:rsidP="00083A70">
      <w:pPr>
        <w:ind w:firstLine="567"/>
        <w:jc w:val="both"/>
        <w:rPr>
          <w:rFonts w:ascii="Arial" w:hAnsi="Arial" w:cs="Arial"/>
          <w:sz w:val="20"/>
          <w:szCs w:val="20"/>
        </w:rPr>
      </w:pPr>
      <w:r>
        <w:rPr>
          <w:rFonts w:ascii="Arial" w:hAnsi="Arial" w:cs="Arial"/>
          <w:sz w:val="20"/>
          <w:szCs w:val="20"/>
        </w:rPr>
        <w:t>ANTINFLAMATORIOS ANTIREUMATICOS</w:t>
      </w:r>
    </w:p>
    <w:p w:rsidR="00083A70" w:rsidRDefault="00083A70" w:rsidP="00083A70">
      <w:pPr>
        <w:ind w:firstLine="567"/>
        <w:jc w:val="both"/>
        <w:rPr>
          <w:rFonts w:ascii="Arial" w:hAnsi="Arial" w:cs="Arial"/>
          <w:sz w:val="20"/>
          <w:szCs w:val="20"/>
        </w:rPr>
      </w:pPr>
      <w:r>
        <w:rPr>
          <w:rFonts w:ascii="Arial" w:hAnsi="Arial" w:cs="Arial"/>
          <w:sz w:val="20"/>
          <w:szCs w:val="20"/>
        </w:rPr>
        <w:t>ANTINFLAMATORIOS E ANTIREUMATIOS-ASSOCS MEDICAMENTOSAS</w:t>
      </w:r>
    </w:p>
    <w:p w:rsidR="00083A70" w:rsidRDefault="00083A70" w:rsidP="00083A70">
      <w:pPr>
        <w:ind w:firstLine="567"/>
        <w:jc w:val="both"/>
        <w:rPr>
          <w:rFonts w:ascii="Arial" w:hAnsi="Arial" w:cs="Arial"/>
          <w:sz w:val="20"/>
          <w:szCs w:val="20"/>
        </w:rPr>
      </w:pPr>
      <w:r>
        <w:rPr>
          <w:rFonts w:ascii="Arial" w:hAnsi="Arial" w:cs="Arial"/>
          <w:sz w:val="20"/>
          <w:szCs w:val="20"/>
        </w:rPr>
        <w:t>ANTIPARKINSONIANOS</w:t>
      </w:r>
    </w:p>
    <w:p w:rsidR="00083A70" w:rsidRDefault="00083A70" w:rsidP="00083A70">
      <w:pPr>
        <w:ind w:firstLine="567"/>
        <w:jc w:val="both"/>
        <w:rPr>
          <w:rFonts w:ascii="Arial" w:hAnsi="Arial" w:cs="Arial"/>
          <w:sz w:val="20"/>
          <w:szCs w:val="20"/>
        </w:rPr>
      </w:pPr>
      <w:r>
        <w:rPr>
          <w:rFonts w:ascii="Arial" w:hAnsi="Arial" w:cs="Arial"/>
          <w:sz w:val="20"/>
          <w:szCs w:val="20"/>
        </w:rPr>
        <w:t>ANTITROMBOTICO</w:t>
      </w:r>
    </w:p>
    <w:p w:rsidR="00083A70" w:rsidRDefault="00083A70" w:rsidP="00083A70">
      <w:pPr>
        <w:ind w:firstLine="567"/>
        <w:jc w:val="both"/>
        <w:rPr>
          <w:rFonts w:ascii="Arial" w:hAnsi="Arial" w:cs="Arial"/>
          <w:sz w:val="20"/>
          <w:szCs w:val="20"/>
        </w:rPr>
      </w:pPr>
      <w:r>
        <w:rPr>
          <w:rFonts w:ascii="Arial" w:hAnsi="Arial" w:cs="Arial"/>
          <w:sz w:val="20"/>
          <w:szCs w:val="20"/>
        </w:rPr>
        <w:t>ANTIULCEROSOS</w:t>
      </w:r>
    </w:p>
    <w:p w:rsidR="00083A70" w:rsidRDefault="00083A70" w:rsidP="00083A70">
      <w:pPr>
        <w:ind w:firstLine="567"/>
        <w:jc w:val="both"/>
        <w:rPr>
          <w:rFonts w:ascii="Arial" w:hAnsi="Arial" w:cs="Arial"/>
          <w:sz w:val="20"/>
          <w:szCs w:val="20"/>
        </w:rPr>
      </w:pPr>
      <w:r>
        <w:rPr>
          <w:rFonts w:ascii="Arial" w:hAnsi="Arial" w:cs="Arial"/>
          <w:sz w:val="20"/>
          <w:szCs w:val="20"/>
        </w:rPr>
        <w:t>BETABLOQUEADORES SIMPLES</w:t>
      </w:r>
    </w:p>
    <w:p w:rsidR="00083A70" w:rsidRDefault="00083A70" w:rsidP="00083A70">
      <w:pPr>
        <w:ind w:firstLine="567"/>
        <w:jc w:val="both"/>
        <w:rPr>
          <w:rFonts w:ascii="Arial" w:hAnsi="Arial" w:cs="Arial"/>
          <w:sz w:val="20"/>
          <w:szCs w:val="20"/>
        </w:rPr>
      </w:pPr>
      <w:r>
        <w:rPr>
          <w:rFonts w:ascii="Arial" w:hAnsi="Arial" w:cs="Arial"/>
          <w:sz w:val="20"/>
          <w:szCs w:val="20"/>
        </w:rPr>
        <w:t>BLOQUEADOR NEUROMUSCULAR</w:t>
      </w:r>
    </w:p>
    <w:p w:rsidR="00083A70" w:rsidRDefault="00083A70" w:rsidP="00083A70">
      <w:pPr>
        <w:ind w:firstLine="567"/>
        <w:jc w:val="both"/>
        <w:rPr>
          <w:rFonts w:ascii="Arial" w:hAnsi="Arial" w:cs="Arial"/>
          <w:sz w:val="20"/>
          <w:szCs w:val="20"/>
        </w:rPr>
      </w:pPr>
      <w:r>
        <w:rPr>
          <w:rFonts w:ascii="Arial" w:hAnsi="Arial" w:cs="Arial"/>
          <w:sz w:val="20"/>
          <w:szCs w:val="20"/>
        </w:rPr>
        <w:t>DIURETICOS</w:t>
      </w:r>
    </w:p>
    <w:p w:rsidR="00083A70" w:rsidRDefault="00083A70" w:rsidP="00083A70">
      <w:pPr>
        <w:ind w:firstLine="567"/>
        <w:jc w:val="both"/>
        <w:rPr>
          <w:rFonts w:ascii="Arial" w:hAnsi="Arial" w:cs="Arial"/>
          <w:sz w:val="20"/>
          <w:szCs w:val="20"/>
        </w:rPr>
      </w:pPr>
      <w:r>
        <w:rPr>
          <w:rFonts w:ascii="Arial" w:hAnsi="Arial" w:cs="Arial"/>
          <w:sz w:val="20"/>
          <w:szCs w:val="20"/>
        </w:rPr>
        <w:t>DIURETICOS SIMPLES</w:t>
      </w:r>
    </w:p>
    <w:p w:rsidR="00083A70" w:rsidRDefault="00083A70" w:rsidP="00083A70">
      <w:pPr>
        <w:ind w:firstLine="567"/>
        <w:jc w:val="both"/>
        <w:rPr>
          <w:rFonts w:ascii="Arial" w:hAnsi="Arial" w:cs="Arial"/>
          <w:sz w:val="20"/>
          <w:szCs w:val="20"/>
        </w:rPr>
      </w:pPr>
      <w:r>
        <w:rPr>
          <w:rFonts w:ascii="Arial" w:hAnsi="Arial" w:cs="Arial"/>
          <w:sz w:val="20"/>
          <w:szCs w:val="20"/>
        </w:rPr>
        <w:t>GLICOCORTICOIDES SISTEMICOS</w:t>
      </w:r>
    </w:p>
    <w:p w:rsidR="00083A70" w:rsidRDefault="00083A70" w:rsidP="00083A70">
      <w:pPr>
        <w:ind w:firstLine="567"/>
        <w:jc w:val="both"/>
        <w:rPr>
          <w:rFonts w:ascii="Arial" w:hAnsi="Arial" w:cs="Arial"/>
          <w:sz w:val="20"/>
          <w:szCs w:val="20"/>
        </w:rPr>
      </w:pPr>
      <w:r>
        <w:rPr>
          <w:rFonts w:ascii="Arial" w:hAnsi="Arial" w:cs="Arial"/>
          <w:sz w:val="20"/>
          <w:szCs w:val="20"/>
        </w:rPr>
        <w:t>GLICOCORTICOIDES SISTEMICOS-ASSOCIACOES MEDICAMENTOSAS</w:t>
      </w:r>
    </w:p>
    <w:p w:rsidR="00083A70" w:rsidRDefault="00083A70" w:rsidP="00083A70">
      <w:pPr>
        <w:ind w:firstLine="567"/>
        <w:jc w:val="both"/>
        <w:rPr>
          <w:rFonts w:ascii="Arial" w:hAnsi="Arial" w:cs="Arial"/>
          <w:sz w:val="20"/>
          <w:szCs w:val="20"/>
        </w:rPr>
      </w:pPr>
      <w:r>
        <w:rPr>
          <w:rFonts w:ascii="Arial" w:hAnsi="Arial" w:cs="Arial"/>
          <w:sz w:val="20"/>
          <w:szCs w:val="20"/>
        </w:rPr>
        <w:t>GLICOSIDEOS CARDIACOS</w:t>
      </w:r>
    </w:p>
    <w:p w:rsidR="00083A70" w:rsidRDefault="00083A70" w:rsidP="00083A70">
      <w:pPr>
        <w:ind w:firstLine="567"/>
        <w:jc w:val="both"/>
        <w:rPr>
          <w:rFonts w:ascii="Arial" w:hAnsi="Arial" w:cs="Arial"/>
          <w:sz w:val="20"/>
          <w:szCs w:val="20"/>
        </w:rPr>
      </w:pPr>
      <w:r>
        <w:rPr>
          <w:rFonts w:ascii="Arial" w:hAnsi="Arial" w:cs="Arial"/>
          <w:sz w:val="20"/>
          <w:szCs w:val="20"/>
        </w:rPr>
        <w:t>HIPOGLICEMIANTE ORAL</w:t>
      </w:r>
    </w:p>
    <w:p w:rsidR="00083A70" w:rsidRDefault="00083A70" w:rsidP="00083A70">
      <w:pPr>
        <w:ind w:firstLine="567"/>
        <w:jc w:val="both"/>
        <w:rPr>
          <w:rFonts w:ascii="Arial" w:hAnsi="Arial" w:cs="Arial"/>
          <w:sz w:val="20"/>
          <w:szCs w:val="20"/>
        </w:rPr>
      </w:pPr>
      <w:r>
        <w:rPr>
          <w:rFonts w:ascii="Arial" w:hAnsi="Arial" w:cs="Arial"/>
          <w:sz w:val="20"/>
          <w:szCs w:val="20"/>
        </w:rPr>
        <w:t>HORMONIOS CORTICOSTEROIDES</w:t>
      </w:r>
    </w:p>
    <w:p w:rsidR="00083A70" w:rsidRDefault="00083A70" w:rsidP="00083A70">
      <w:pPr>
        <w:ind w:firstLine="567"/>
        <w:jc w:val="both"/>
        <w:rPr>
          <w:rFonts w:ascii="Arial" w:hAnsi="Arial" w:cs="Arial"/>
          <w:sz w:val="20"/>
          <w:szCs w:val="20"/>
        </w:rPr>
      </w:pPr>
      <w:r>
        <w:rPr>
          <w:rFonts w:ascii="Arial" w:hAnsi="Arial" w:cs="Arial"/>
          <w:sz w:val="20"/>
          <w:szCs w:val="20"/>
        </w:rPr>
        <w:t>INIBIDOR DA ALFA-REDUTASE</w:t>
      </w:r>
    </w:p>
    <w:p w:rsidR="00083A70" w:rsidRDefault="00083A70" w:rsidP="00083A70">
      <w:pPr>
        <w:ind w:firstLine="567"/>
        <w:jc w:val="both"/>
        <w:rPr>
          <w:rFonts w:ascii="Arial" w:hAnsi="Arial" w:cs="Arial"/>
          <w:sz w:val="20"/>
          <w:szCs w:val="20"/>
        </w:rPr>
      </w:pPr>
      <w:r>
        <w:rPr>
          <w:rFonts w:ascii="Arial" w:hAnsi="Arial" w:cs="Arial"/>
          <w:sz w:val="20"/>
          <w:szCs w:val="20"/>
        </w:rPr>
        <w:t>MEDICAMENTOS C/ACAO NO MIOCARDIO</w:t>
      </w:r>
    </w:p>
    <w:p w:rsidR="00083A70" w:rsidRDefault="00083A70" w:rsidP="00083A70">
      <w:pPr>
        <w:ind w:firstLine="567"/>
        <w:jc w:val="both"/>
        <w:rPr>
          <w:rFonts w:ascii="Arial" w:hAnsi="Arial" w:cs="Arial"/>
          <w:sz w:val="20"/>
          <w:szCs w:val="20"/>
        </w:rPr>
      </w:pPr>
      <w:r>
        <w:rPr>
          <w:rFonts w:ascii="Arial" w:hAnsi="Arial" w:cs="Arial"/>
          <w:sz w:val="20"/>
          <w:szCs w:val="20"/>
        </w:rPr>
        <w:t>NEUROLEPTICOS</w:t>
      </w:r>
    </w:p>
    <w:p w:rsidR="00083A70" w:rsidRDefault="00083A70" w:rsidP="00083A70">
      <w:pPr>
        <w:ind w:firstLine="567"/>
        <w:jc w:val="both"/>
        <w:rPr>
          <w:rFonts w:ascii="Arial" w:hAnsi="Arial" w:cs="Arial"/>
          <w:sz w:val="20"/>
          <w:szCs w:val="20"/>
        </w:rPr>
      </w:pPr>
      <w:r>
        <w:rPr>
          <w:rFonts w:ascii="Arial" w:hAnsi="Arial" w:cs="Arial"/>
          <w:sz w:val="20"/>
          <w:szCs w:val="20"/>
        </w:rPr>
        <w:t>OUTROS MEDICAMENTOS ANTIASMATICOS</w:t>
      </w:r>
    </w:p>
    <w:p w:rsidR="00083A70" w:rsidRDefault="00083A70" w:rsidP="00083A70">
      <w:pPr>
        <w:ind w:firstLine="567"/>
        <w:jc w:val="both"/>
        <w:rPr>
          <w:rFonts w:ascii="Arial" w:hAnsi="Arial" w:cs="Arial"/>
          <w:sz w:val="20"/>
          <w:szCs w:val="20"/>
        </w:rPr>
      </w:pPr>
      <w:r>
        <w:rPr>
          <w:rFonts w:ascii="Arial" w:hAnsi="Arial" w:cs="Arial"/>
          <w:sz w:val="20"/>
          <w:szCs w:val="20"/>
        </w:rPr>
        <w:t>OUTROS PRODUTOS COM ACAO NO APARELHO CARDIOVASCULAR</w:t>
      </w:r>
    </w:p>
    <w:p w:rsidR="00083A70" w:rsidRDefault="00083A70" w:rsidP="00083A70">
      <w:pPr>
        <w:ind w:firstLine="567"/>
        <w:jc w:val="both"/>
        <w:rPr>
          <w:rFonts w:ascii="Arial" w:hAnsi="Arial" w:cs="Arial"/>
          <w:sz w:val="20"/>
          <w:szCs w:val="20"/>
        </w:rPr>
      </w:pPr>
      <w:r>
        <w:rPr>
          <w:rFonts w:ascii="Arial" w:hAnsi="Arial" w:cs="Arial"/>
          <w:sz w:val="20"/>
          <w:szCs w:val="20"/>
        </w:rPr>
        <w:t>OUTROS PRODUTOS COM ACAO NO MIOCARDIO E SISTEMA DE CONDUCAO</w:t>
      </w:r>
    </w:p>
    <w:p w:rsidR="00083A70" w:rsidRDefault="00083A70" w:rsidP="00083A70">
      <w:pPr>
        <w:ind w:firstLine="567"/>
        <w:jc w:val="both"/>
        <w:rPr>
          <w:rFonts w:ascii="Arial" w:hAnsi="Arial" w:cs="Arial"/>
          <w:sz w:val="20"/>
          <w:szCs w:val="20"/>
        </w:rPr>
      </w:pPr>
      <w:r>
        <w:rPr>
          <w:rFonts w:ascii="Arial" w:hAnsi="Arial" w:cs="Arial"/>
          <w:sz w:val="20"/>
          <w:szCs w:val="20"/>
        </w:rPr>
        <w:t>OUTROS PRODUTOS QUE ATUAM SOBRE O SISTEMA NERVOSO</w:t>
      </w:r>
    </w:p>
    <w:p w:rsidR="00083A70" w:rsidRDefault="00083A70" w:rsidP="00083A70">
      <w:pPr>
        <w:ind w:firstLine="567"/>
        <w:jc w:val="both"/>
        <w:rPr>
          <w:rFonts w:ascii="Arial" w:hAnsi="Arial" w:cs="Arial"/>
          <w:sz w:val="20"/>
          <w:szCs w:val="20"/>
        </w:rPr>
      </w:pPr>
      <w:r>
        <w:rPr>
          <w:rFonts w:ascii="Arial" w:hAnsi="Arial" w:cs="Arial"/>
          <w:sz w:val="20"/>
          <w:szCs w:val="20"/>
        </w:rPr>
        <w:t>SUPRESSORES DA REABSORCAO OSSEA</w:t>
      </w:r>
    </w:p>
    <w:p w:rsidR="00083A70" w:rsidRDefault="00083A70" w:rsidP="00083A70">
      <w:pPr>
        <w:ind w:firstLine="567"/>
        <w:jc w:val="both"/>
        <w:rPr>
          <w:rFonts w:ascii="Arial" w:hAnsi="Arial" w:cs="Arial"/>
          <w:sz w:val="20"/>
          <w:szCs w:val="20"/>
        </w:rPr>
      </w:pPr>
      <w:r>
        <w:rPr>
          <w:rFonts w:ascii="Arial" w:hAnsi="Arial" w:cs="Arial"/>
          <w:sz w:val="20"/>
          <w:szCs w:val="20"/>
        </w:rPr>
        <w:t>VASODILATADORES CEREBRAIS</w:t>
      </w:r>
    </w:p>
    <w:p w:rsidR="00083A70" w:rsidRDefault="00083A70" w:rsidP="00083A70">
      <w:pPr>
        <w:jc w:val="both"/>
        <w:rPr>
          <w:rFonts w:ascii="Arial" w:hAnsi="Arial" w:cs="Arial"/>
          <w:sz w:val="20"/>
          <w:szCs w:val="20"/>
        </w:rPr>
      </w:pPr>
      <w:r>
        <w:rPr>
          <w:rFonts w:ascii="Arial" w:hAnsi="Arial" w:cs="Arial"/>
          <w:sz w:val="20"/>
          <w:szCs w:val="20"/>
        </w:rPr>
        <w:t>____________________________________________________________________________</w:t>
      </w:r>
    </w:p>
    <w:p w:rsidR="00083A70" w:rsidRDefault="00083A70" w:rsidP="00083A70">
      <w:pPr>
        <w:ind w:firstLine="567"/>
        <w:jc w:val="both"/>
        <w:rPr>
          <w:rFonts w:ascii="Arial" w:hAnsi="Arial" w:cs="Arial"/>
          <w:sz w:val="20"/>
          <w:szCs w:val="20"/>
        </w:rPr>
      </w:pPr>
      <w:r>
        <w:rPr>
          <w:rFonts w:ascii="Arial" w:hAnsi="Arial" w:cs="Arial"/>
          <w:sz w:val="20"/>
          <w:szCs w:val="20"/>
        </w:rPr>
        <w:t>(*) Republicada por ter ocorrido omissão de informação no Diário Oficial da União n° 233, de 07 de dezembro de 2015, Seção 1, páginas 48 e 49.</w:t>
      </w:r>
    </w:p>
    <w:p w:rsidR="00083A70" w:rsidRDefault="00083A70" w:rsidP="00083A70">
      <w:pPr>
        <w:rPr>
          <w:rFonts w:ascii="Arial" w:hAnsi="Arial" w:cs="Arial"/>
          <w:b/>
          <w:sz w:val="20"/>
          <w:szCs w:val="20"/>
        </w:rPr>
      </w:pPr>
    </w:p>
    <w:p w:rsidR="00A4405D" w:rsidRDefault="00083A70" w:rsidP="00083A70">
      <w:pPr>
        <w:autoSpaceDE w:val="0"/>
        <w:autoSpaceDN w:val="0"/>
        <w:adjustRightInd w:val="0"/>
        <w:rPr>
          <w:rFonts w:asciiTheme="minorHAnsi" w:hAnsiTheme="minorHAnsi" w:cs="Arial"/>
          <w:b/>
          <w:bCs/>
          <w:color w:val="282526"/>
          <w:sz w:val="22"/>
          <w:szCs w:val="22"/>
        </w:rPr>
      </w:pPr>
      <w:r>
        <w:rPr>
          <w:rFonts w:ascii="Arial" w:hAnsi="Arial" w:cs="Arial"/>
          <w:b/>
          <w:sz w:val="20"/>
          <w:szCs w:val="20"/>
        </w:rPr>
        <w:br w:type="page"/>
      </w:r>
    </w:p>
    <w:sectPr w:rsidR="00A4405D" w:rsidSect="00A56AA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D4" w:rsidRDefault="00781AD4" w:rsidP="00AE52E7">
      <w:r>
        <w:separator/>
      </w:r>
    </w:p>
  </w:endnote>
  <w:endnote w:type="continuationSeparator" w:id="1">
    <w:p w:rsidR="00781AD4" w:rsidRDefault="00781AD4" w:rsidP="00AE5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0" w:rsidRDefault="00083A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D4" w:rsidRDefault="00A4405D">
    <w:pPr>
      <w:pStyle w:val="Rodap"/>
    </w:pPr>
    <w:r>
      <w:rPr>
        <w:noProof/>
        <w:lang w:eastAsia="pt-BR"/>
      </w:rPr>
      <w:drawing>
        <wp:inline distT="0" distB="0" distL="0" distR="0">
          <wp:extent cx="5400040" cy="40068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odape_v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400685"/>
                  </a:xfrm>
                  <a:prstGeom prst="rect">
                    <a:avLst/>
                  </a:prstGeom>
                </pic:spPr>
              </pic:pic>
            </a:graphicData>
          </a:graphic>
        </wp:inline>
      </w:drawing>
    </w:r>
  </w:p>
  <w:p w:rsidR="00781AD4" w:rsidRPr="00AE52E7" w:rsidRDefault="00781AD4"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ável: Rosana Mastellaro- Tel.(11</w:t>
    </w:r>
    <w:r w:rsidR="00A4405D">
      <w:rPr>
        <w:rFonts w:ascii="Calibri" w:eastAsia="Times New Roman" w:hAnsi="Calibri"/>
        <w:b/>
        <w:bCs/>
        <w:color w:val="000000"/>
        <w:sz w:val="16"/>
        <w:szCs w:val="16"/>
      </w:rPr>
      <w:t>)3897-9779</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781AD4" w:rsidRPr="00AE52E7" w:rsidRDefault="00781AD4"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sindusfarma.org.br                            </w:t>
    </w:r>
    <w:r w:rsidR="00A4405D">
      <w:rPr>
        <w:rFonts w:ascii="Calibri" w:eastAsia="Times New Roman" w:hAnsi="Calibri"/>
        <w:b/>
        <w:bCs/>
        <w:color w:val="000000"/>
        <w:sz w:val="16"/>
        <w:szCs w:val="16"/>
      </w:rPr>
      <w:tab/>
    </w:r>
    <w:r w:rsidR="00A4405D">
      <w:rPr>
        <w:rFonts w:ascii="Calibri" w:eastAsia="Times New Roman" w:hAnsi="Calibri"/>
        <w:b/>
        <w:bCs/>
        <w:color w:val="000000"/>
        <w:sz w:val="16"/>
        <w:szCs w:val="16"/>
      </w:rPr>
      <w:tab/>
    </w:r>
    <w:r w:rsidRPr="00AE52E7">
      <w:rPr>
        <w:rFonts w:ascii="Calibri" w:eastAsia="Times New Roman" w:hAnsi="Calibri"/>
        <w:b/>
        <w:bCs/>
        <w:color w:val="000000"/>
        <w:sz w:val="16"/>
        <w:szCs w:val="16"/>
      </w:rPr>
      <w:t>São Paulo/SP - CEP 04550-004</w:t>
    </w:r>
  </w:p>
  <w:p w:rsidR="00781AD4" w:rsidRDefault="00781AD4">
    <w:pPr>
      <w:pStyle w:val="Rodap"/>
    </w:pPr>
  </w:p>
  <w:p w:rsidR="00781AD4" w:rsidRDefault="00781AD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0" w:rsidRDefault="00083A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D4" w:rsidRDefault="00781AD4" w:rsidP="00AE52E7">
      <w:r>
        <w:separator/>
      </w:r>
    </w:p>
  </w:footnote>
  <w:footnote w:type="continuationSeparator" w:id="1">
    <w:p w:rsidR="00781AD4" w:rsidRDefault="00781AD4" w:rsidP="00AE5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0" w:rsidRDefault="00083A7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D4" w:rsidRDefault="00781AD4">
    <w:pPr>
      <w:pStyle w:val="Cabealho"/>
    </w:pPr>
    <w:r>
      <w:rPr>
        <w:noProof/>
        <w:lang w:eastAsia="pt-BR"/>
      </w:rPr>
      <w:drawing>
        <wp:inline distT="0" distB="0" distL="0" distR="0">
          <wp:extent cx="5400040" cy="115887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158875"/>
                  </a:xfrm>
                  <a:prstGeom prst="rect">
                    <a:avLst/>
                  </a:prstGeom>
                </pic:spPr>
              </pic:pic>
            </a:graphicData>
          </a:graphic>
        </wp:inline>
      </w:drawing>
    </w:r>
  </w:p>
  <w:p w:rsidR="00781AD4" w:rsidRPr="00AE52E7" w:rsidRDefault="00083A70" w:rsidP="00AE52E7">
    <w:pPr>
      <w:pStyle w:val="Cabealho"/>
      <w:jc w:val="center"/>
      <w:rPr>
        <w:sz w:val="6"/>
        <w:szCs w:val="6"/>
      </w:rPr>
    </w:pPr>
    <w:r>
      <w:rPr>
        <w:rStyle w:val="Forte"/>
        <w:rFonts w:ascii="Calibri" w:hAnsi="Calibri"/>
        <w:color w:val="000000"/>
        <w:sz w:val="16"/>
        <w:szCs w:val="16"/>
      </w:rPr>
      <w:t>Edição n° 129</w:t>
    </w:r>
    <w:bookmarkStart w:id="0" w:name="_GoBack"/>
    <w:bookmarkEnd w:id="0"/>
    <w:r w:rsidR="00781AD4">
      <w:rPr>
        <w:rStyle w:val="Forte"/>
        <w:rFonts w:ascii="Calibri" w:hAnsi="Calibri"/>
        <w:color w:val="000000"/>
        <w:sz w:val="16"/>
        <w:szCs w:val="16"/>
      </w:rPr>
      <w:t xml:space="preserve">.2017 | São Paulo, </w:t>
    </w:r>
    <w:r>
      <w:rPr>
        <w:rStyle w:val="Forte"/>
        <w:rFonts w:ascii="Calibri" w:hAnsi="Calibri"/>
        <w:color w:val="000000"/>
        <w:sz w:val="16"/>
        <w:szCs w:val="16"/>
      </w:rPr>
      <w:t xml:space="preserve">24 </w:t>
    </w:r>
    <w:r w:rsidR="00F922C5">
      <w:rPr>
        <w:rStyle w:val="Forte"/>
        <w:rFonts w:ascii="Calibri" w:hAnsi="Calibri"/>
        <w:color w:val="000000"/>
        <w:sz w:val="16"/>
        <w:szCs w:val="16"/>
      </w:rPr>
      <w:t xml:space="preserve">de </w:t>
    </w:r>
    <w:r>
      <w:rPr>
        <w:rStyle w:val="Forte"/>
        <w:rFonts w:ascii="Calibri" w:hAnsi="Calibri"/>
        <w:color w:val="000000"/>
        <w:sz w:val="16"/>
        <w:szCs w:val="16"/>
      </w:rPr>
      <w:t xml:space="preserve">agosto </w:t>
    </w:r>
    <w:r w:rsidR="00781AD4">
      <w:rPr>
        <w:rStyle w:val="Forte"/>
        <w:rFonts w:ascii="Calibri" w:hAnsi="Calibri"/>
        <w:color w:val="000000"/>
        <w:sz w:val="16"/>
        <w:szCs w:val="16"/>
      </w:rPr>
      <w:t xml:space="preserve"> de 2017</w:t>
    </w:r>
    <w:r w:rsidR="00781AD4" w:rsidRPr="00AE52E7">
      <w:rPr>
        <w:noProof/>
        <w:sz w:val="6"/>
        <w:szCs w:val="6"/>
        <w:lang w:eastAsia="pt-BR"/>
      </w:rPr>
      <w:drawing>
        <wp:inline distT="0" distB="0" distL="0" distR="0">
          <wp:extent cx="5400040" cy="1778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778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0" w:rsidRDefault="00083A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CBD"/>
    <w:multiLevelType w:val="multilevel"/>
    <w:tmpl w:val="CBC49E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A31698"/>
    <w:multiLevelType w:val="hybridMultilevel"/>
    <w:tmpl w:val="6A98C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AE52E7"/>
    <w:rsid w:val="00027865"/>
    <w:rsid w:val="00042172"/>
    <w:rsid w:val="00043462"/>
    <w:rsid w:val="0005217C"/>
    <w:rsid w:val="000568DA"/>
    <w:rsid w:val="0006059E"/>
    <w:rsid w:val="00060B3B"/>
    <w:rsid w:val="0006443F"/>
    <w:rsid w:val="00081BAE"/>
    <w:rsid w:val="00083A70"/>
    <w:rsid w:val="000971F9"/>
    <w:rsid w:val="000A18B4"/>
    <w:rsid w:val="000A408B"/>
    <w:rsid w:val="000A5CE2"/>
    <w:rsid w:val="000A75A2"/>
    <w:rsid w:val="000B134F"/>
    <w:rsid w:val="000B2087"/>
    <w:rsid w:val="000C1B25"/>
    <w:rsid w:val="000C1C63"/>
    <w:rsid w:val="000C5BC7"/>
    <w:rsid w:val="000D588F"/>
    <w:rsid w:val="000F7715"/>
    <w:rsid w:val="000F7CC8"/>
    <w:rsid w:val="00110B21"/>
    <w:rsid w:val="00136263"/>
    <w:rsid w:val="00136A83"/>
    <w:rsid w:val="00146BB2"/>
    <w:rsid w:val="001718CE"/>
    <w:rsid w:val="001778A6"/>
    <w:rsid w:val="00183C28"/>
    <w:rsid w:val="00185E2F"/>
    <w:rsid w:val="001A153E"/>
    <w:rsid w:val="001B4EFA"/>
    <w:rsid w:val="001C1024"/>
    <w:rsid w:val="001F1556"/>
    <w:rsid w:val="0021365C"/>
    <w:rsid w:val="00215D2B"/>
    <w:rsid w:val="002274C0"/>
    <w:rsid w:val="002337BB"/>
    <w:rsid w:val="00235209"/>
    <w:rsid w:val="00236EAF"/>
    <w:rsid w:val="002772CE"/>
    <w:rsid w:val="0028793A"/>
    <w:rsid w:val="002A5B57"/>
    <w:rsid w:val="002F5FD9"/>
    <w:rsid w:val="00301680"/>
    <w:rsid w:val="003355EF"/>
    <w:rsid w:val="00346774"/>
    <w:rsid w:val="00353BC1"/>
    <w:rsid w:val="0036549B"/>
    <w:rsid w:val="003708AD"/>
    <w:rsid w:val="00391D18"/>
    <w:rsid w:val="003A0684"/>
    <w:rsid w:val="003A3060"/>
    <w:rsid w:val="003A7803"/>
    <w:rsid w:val="003C4071"/>
    <w:rsid w:val="003D7A6C"/>
    <w:rsid w:val="003E1BC5"/>
    <w:rsid w:val="003E416B"/>
    <w:rsid w:val="003F1499"/>
    <w:rsid w:val="003F6AB4"/>
    <w:rsid w:val="0040409D"/>
    <w:rsid w:val="00406D73"/>
    <w:rsid w:val="00417144"/>
    <w:rsid w:val="00422374"/>
    <w:rsid w:val="00427E66"/>
    <w:rsid w:val="00432E6C"/>
    <w:rsid w:val="00442C79"/>
    <w:rsid w:val="00450CB4"/>
    <w:rsid w:val="00452E22"/>
    <w:rsid w:val="00456A63"/>
    <w:rsid w:val="00462CDD"/>
    <w:rsid w:val="00466834"/>
    <w:rsid w:val="00475C94"/>
    <w:rsid w:val="00477892"/>
    <w:rsid w:val="004859A1"/>
    <w:rsid w:val="004938D7"/>
    <w:rsid w:val="004A1E6B"/>
    <w:rsid w:val="004B29E1"/>
    <w:rsid w:val="004C0652"/>
    <w:rsid w:val="004C4FC3"/>
    <w:rsid w:val="004C5529"/>
    <w:rsid w:val="004C7B40"/>
    <w:rsid w:val="004D6C76"/>
    <w:rsid w:val="004E39FD"/>
    <w:rsid w:val="004F0812"/>
    <w:rsid w:val="0051020D"/>
    <w:rsid w:val="00521C58"/>
    <w:rsid w:val="00523B84"/>
    <w:rsid w:val="00525B88"/>
    <w:rsid w:val="00544CA0"/>
    <w:rsid w:val="00566F49"/>
    <w:rsid w:val="005878AE"/>
    <w:rsid w:val="005962B2"/>
    <w:rsid w:val="005A156B"/>
    <w:rsid w:val="005A5D86"/>
    <w:rsid w:val="005B425B"/>
    <w:rsid w:val="005D2550"/>
    <w:rsid w:val="005D350B"/>
    <w:rsid w:val="00635E72"/>
    <w:rsid w:val="00637DF7"/>
    <w:rsid w:val="00647BF2"/>
    <w:rsid w:val="00666E99"/>
    <w:rsid w:val="00677E37"/>
    <w:rsid w:val="00680306"/>
    <w:rsid w:val="006A6499"/>
    <w:rsid w:val="006A7046"/>
    <w:rsid w:val="006B5A70"/>
    <w:rsid w:val="006C541D"/>
    <w:rsid w:val="006C63EB"/>
    <w:rsid w:val="006D15B0"/>
    <w:rsid w:val="006D716B"/>
    <w:rsid w:val="006E07B8"/>
    <w:rsid w:val="006E53FB"/>
    <w:rsid w:val="006F4BEA"/>
    <w:rsid w:val="006F53CF"/>
    <w:rsid w:val="006F790E"/>
    <w:rsid w:val="00704E17"/>
    <w:rsid w:val="00717704"/>
    <w:rsid w:val="00730F5D"/>
    <w:rsid w:val="007414CC"/>
    <w:rsid w:val="00774EF5"/>
    <w:rsid w:val="007775AC"/>
    <w:rsid w:val="00777F35"/>
    <w:rsid w:val="00781AD4"/>
    <w:rsid w:val="00792FEA"/>
    <w:rsid w:val="00797D6B"/>
    <w:rsid w:val="007A253B"/>
    <w:rsid w:val="007A32DC"/>
    <w:rsid w:val="007A50C3"/>
    <w:rsid w:val="007B3E73"/>
    <w:rsid w:val="007B41D1"/>
    <w:rsid w:val="007B7A34"/>
    <w:rsid w:val="007C1841"/>
    <w:rsid w:val="007C29C1"/>
    <w:rsid w:val="007D40CD"/>
    <w:rsid w:val="007E43D1"/>
    <w:rsid w:val="007F4090"/>
    <w:rsid w:val="00823F84"/>
    <w:rsid w:val="0084276D"/>
    <w:rsid w:val="008548D9"/>
    <w:rsid w:val="00856B57"/>
    <w:rsid w:val="00857ED4"/>
    <w:rsid w:val="00861AB6"/>
    <w:rsid w:val="00867524"/>
    <w:rsid w:val="00871880"/>
    <w:rsid w:val="00872EAD"/>
    <w:rsid w:val="0087382B"/>
    <w:rsid w:val="00880BEB"/>
    <w:rsid w:val="008849E3"/>
    <w:rsid w:val="00886D6D"/>
    <w:rsid w:val="00893EE0"/>
    <w:rsid w:val="008A5698"/>
    <w:rsid w:val="008B294F"/>
    <w:rsid w:val="008B2E62"/>
    <w:rsid w:val="008C3AEA"/>
    <w:rsid w:val="008C40F8"/>
    <w:rsid w:val="008C712C"/>
    <w:rsid w:val="008D0FE7"/>
    <w:rsid w:val="008E4A4E"/>
    <w:rsid w:val="008E558A"/>
    <w:rsid w:val="009104A2"/>
    <w:rsid w:val="009222B9"/>
    <w:rsid w:val="00925EB5"/>
    <w:rsid w:val="00931E7C"/>
    <w:rsid w:val="009363A6"/>
    <w:rsid w:val="00944E72"/>
    <w:rsid w:val="00951745"/>
    <w:rsid w:val="00961D02"/>
    <w:rsid w:val="00974838"/>
    <w:rsid w:val="0098286A"/>
    <w:rsid w:val="0099304C"/>
    <w:rsid w:val="00995024"/>
    <w:rsid w:val="0099601F"/>
    <w:rsid w:val="009C61A7"/>
    <w:rsid w:val="009D0FA1"/>
    <w:rsid w:val="009F6FB0"/>
    <w:rsid w:val="00A12661"/>
    <w:rsid w:val="00A1285F"/>
    <w:rsid w:val="00A371DD"/>
    <w:rsid w:val="00A4029B"/>
    <w:rsid w:val="00A4405D"/>
    <w:rsid w:val="00A50BC4"/>
    <w:rsid w:val="00A56AA2"/>
    <w:rsid w:val="00A64462"/>
    <w:rsid w:val="00A65789"/>
    <w:rsid w:val="00A65CCA"/>
    <w:rsid w:val="00A90CDA"/>
    <w:rsid w:val="00A95942"/>
    <w:rsid w:val="00AB5FA5"/>
    <w:rsid w:val="00AC3932"/>
    <w:rsid w:val="00AC79CB"/>
    <w:rsid w:val="00AD6772"/>
    <w:rsid w:val="00AE0006"/>
    <w:rsid w:val="00AE1C67"/>
    <w:rsid w:val="00AE52E7"/>
    <w:rsid w:val="00AF15A8"/>
    <w:rsid w:val="00B02148"/>
    <w:rsid w:val="00B02E6A"/>
    <w:rsid w:val="00B05AD8"/>
    <w:rsid w:val="00B21D43"/>
    <w:rsid w:val="00B32D62"/>
    <w:rsid w:val="00B3501B"/>
    <w:rsid w:val="00B50126"/>
    <w:rsid w:val="00B546EC"/>
    <w:rsid w:val="00B62083"/>
    <w:rsid w:val="00B7076A"/>
    <w:rsid w:val="00B76F81"/>
    <w:rsid w:val="00B8240B"/>
    <w:rsid w:val="00B8559D"/>
    <w:rsid w:val="00BA2A83"/>
    <w:rsid w:val="00BA5C1A"/>
    <w:rsid w:val="00BA5F96"/>
    <w:rsid w:val="00BA7C35"/>
    <w:rsid w:val="00BB5867"/>
    <w:rsid w:val="00BC14BD"/>
    <w:rsid w:val="00BD171F"/>
    <w:rsid w:val="00BD4D13"/>
    <w:rsid w:val="00BE21F0"/>
    <w:rsid w:val="00BF7523"/>
    <w:rsid w:val="00C036EA"/>
    <w:rsid w:val="00C03EFE"/>
    <w:rsid w:val="00C052FD"/>
    <w:rsid w:val="00C065EC"/>
    <w:rsid w:val="00C16A5E"/>
    <w:rsid w:val="00C20A1F"/>
    <w:rsid w:val="00C3185F"/>
    <w:rsid w:val="00C34996"/>
    <w:rsid w:val="00C40717"/>
    <w:rsid w:val="00C43E50"/>
    <w:rsid w:val="00C53C7D"/>
    <w:rsid w:val="00C66C55"/>
    <w:rsid w:val="00C67654"/>
    <w:rsid w:val="00C75F04"/>
    <w:rsid w:val="00C872E7"/>
    <w:rsid w:val="00C93CD0"/>
    <w:rsid w:val="00CB2EE7"/>
    <w:rsid w:val="00CC25BE"/>
    <w:rsid w:val="00CC4727"/>
    <w:rsid w:val="00CC785A"/>
    <w:rsid w:val="00CD40BA"/>
    <w:rsid w:val="00CD5038"/>
    <w:rsid w:val="00CE66D3"/>
    <w:rsid w:val="00CE72D4"/>
    <w:rsid w:val="00CF1C95"/>
    <w:rsid w:val="00CF68CD"/>
    <w:rsid w:val="00D151DC"/>
    <w:rsid w:val="00D226BC"/>
    <w:rsid w:val="00D30121"/>
    <w:rsid w:val="00D50246"/>
    <w:rsid w:val="00D56F92"/>
    <w:rsid w:val="00D6276F"/>
    <w:rsid w:val="00D75975"/>
    <w:rsid w:val="00D84A1E"/>
    <w:rsid w:val="00DA0B19"/>
    <w:rsid w:val="00DA35D1"/>
    <w:rsid w:val="00DB08C4"/>
    <w:rsid w:val="00DD141B"/>
    <w:rsid w:val="00DE2781"/>
    <w:rsid w:val="00E00D14"/>
    <w:rsid w:val="00E2576B"/>
    <w:rsid w:val="00E2616F"/>
    <w:rsid w:val="00E47A26"/>
    <w:rsid w:val="00E5099F"/>
    <w:rsid w:val="00E52C17"/>
    <w:rsid w:val="00E57633"/>
    <w:rsid w:val="00EA5C1F"/>
    <w:rsid w:val="00EB4965"/>
    <w:rsid w:val="00EC6A5B"/>
    <w:rsid w:val="00ED6073"/>
    <w:rsid w:val="00ED6606"/>
    <w:rsid w:val="00EE135A"/>
    <w:rsid w:val="00EF4DCF"/>
    <w:rsid w:val="00EF7249"/>
    <w:rsid w:val="00F06D6C"/>
    <w:rsid w:val="00F14B16"/>
    <w:rsid w:val="00F22882"/>
    <w:rsid w:val="00F424C7"/>
    <w:rsid w:val="00F4587A"/>
    <w:rsid w:val="00F467BC"/>
    <w:rsid w:val="00F4736C"/>
    <w:rsid w:val="00F57DFE"/>
    <w:rsid w:val="00F637F7"/>
    <w:rsid w:val="00F64C98"/>
    <w:rsid w:val="00F71CB9"/>
    <w:rsid w:val="00F910CA"/>
    <w:rsid w:val="00F922C5"/>
    <w:rsid w:val="00F965FD"/>
    <w:rsid w:val="00F97F93"/>
    <w:rsid w:val="00FB0C44"/>
    <w:rsid w:val="00FE5F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webSettings.xml><?xml version="1.0" encoding="utf-8"?>
<w:webSettings xmlns:r="http://schemas.openxmlformats.org/officeDocument/2006/relationships" xmlns:w="http://schemas.openxmlformats.org/wordprocessingml/2006/main">
  <w:divs>
    <w:div w:id="15615649">
      <w:bodyDiv w:val="1"/>
      <w:marLeft w:val="0"/>
      <w:marRight w:val="0"/>
      <w:marTop w:val="0"/>
      <w:marBottom w:val="0"/>
      <w:divBdr>
        <w:top w:val="none" w:sz="0" w:space="0" w:color="auto"/>
        <w:left w:val="none" w:sz="0" w:space="0" w:color="auto"/>
        <w:bottom w:val="none" w:sz="0" w:space="0" w:color="auto"/>
        <w:right w:val="none" w:sz="0" w:space="0" w:color="auto"/>
      </w:divBdr>
    </w:div>
    <w:div w:id="31468131">
      <w:bodyDiv w:val="1"/>
      <w:marLeft w:val="0"/>
      <w:marRight w:val="0"/>
      <w:marTop w:val="0"/>
      <w:marBottom w:val="0"/>
      <w:divBdr>
        <w:top w:val="none" w:sz="0" w:space="0" w:color="auto"/>
        <w:left w:val="none" w:sz="0" w:space="0" w:color="auto"/>
        <w:bottom w:val="none" w:sz="0" w:space="0" w:color="auto"/>
        <w:right w:val="none" w:sz="0" w:space="0" w:color="auto"/>
      </w:divBdr>
    </w:div>
    <w:div w:id="45296822">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4517931">
      <w:bodyDiv w:val="1"/>
      <w:marLeft w:val="0"/>
      <w:marRight w:val="0"/>
      <w:marTop w:val="0"/>
      <w:marBottom w:val="0"/>
      <w:divBdr>
        <w:top w:val="none" w:sz="0" w:space="0" w:color="auto"/>
        <w:left w:val="none" w:sz="0" w:space="0" w:color="auto"/>
        <w:bottom w:val="none" w:sz="0" w:space="0" w:color="auto"/>
        <w:right w:val="none" w:sz="0" w:space="0" w:color="auto"/>
      </w:divBdr>
    </w:div>
    <w:div w:id="74788456">
      <w:bodyDiv w:val="1"/>
      <w:marLeft w:val="0"/>
      <w:marRight w:val="0"/>
      <w:marTop w:val="0"/>
      <w:marBottom w:val="0"/>
      <w:divBdr>
        <w:top w:val="none" w:sz="0" w:space="0" w:color="auto"/>
        <w:left w:val="none" w:sz="0" w:space="0" w:color="auto"/>
        <w:bottom w:val="none" w:sz="0" w:space="0" w:color="auto"/>
        <w:right w:val="none" w:sz="0" w:space="0" w:color="auto"/>
      </w:divBdr>
    </w:div>
    <w:div w:id="95290435">
      <w:bodyDiv w:val="1"/>
      <w:marLeft w:val="0"/>
      <w:marRight w:val="0"/>
      <w:marTop w:val="0"/>
      <w:marBottom w:val="0"/>
      <w:divBdr>
        <w:top w:val="none" w:sz="0" w:space="0" w:color="auto"/>
        <w:left w:val="none" w:sz="0" w:space="0" w:color="auto"/>
        <w:bottom w:val="none" w:sz="0" w:space="0" w:color="auto"/>
        <w:right w:val="none" w:sz="0" w:space="0" w:color="auto"/>
      </w:divBdr>
    </w:div>
    <w:div w:id="104272542">
      <w:bodyDiv w:val="1"/>
      <w:marLeft w:val="0"/>
      <w:marRight w:val="0"/>
      <w:marTop w:val="0"/>
      <w:marBottom w:val="0"/>
      <w:divBdr>
        <w:top w:val="none" w:sz="0" w:space="0" w:color="auto"/>
        <w:left w:val="none" w:sz="0" w:space="0" w:color="auto"/>
        <w:bottom w:val="none" w:sz="0" w:space="0" w:color="auto"/>
        <w:right w:val="none" w:sz="0" w:space="0" w:color="auto"/>
      </w:divBdr>
    </w:div>
    <w:div w:id="120147337">
      <w:bodyDiv w:val="1"/>
      <w:marLeft w:val="0"/>
      <w:marRight w:val="0"/>
      <w:marTop w:val="0"/>
      <w:marBottom w:val="0"/>
      <w:divBdr>
        <w:top w:val="none" w:sz="0" w:space="0" w:color="auto"/>
        <w:left w:val="none" w:sz="0" w:space="0" w:color="auto"/>
        <w:bottom w:val="none" w:sz="0" w:space="0" w:color="auto"/>
        <w:right w:val="none" w:sz="0" w:space="0" w:color="auto"/>
      </w:divBdr>
    </w:div>
    <w:div w:id="152574741">
      <w:bodyDiv w:val="1"/>
      <w:marLeft w:val="0"/>
      <w:marRight w:val="0"/>
      <w:marTop w:val="0"/>
      <w:marBottom w:val="0"/>
      <w:divBdr>
        <w:top w:val="none" w:sz="0" w:space="0" w:color="auto"/>
        <w:left w:val="none" w:sz="0" w:space="0" w:color="auto"/>
        <w:bottom w:val="none" w:sz="0" w:space="0" w:color="auto"/>
        <w:right w:val="none" w:sz="0" w:space="0" w:color="auto"/>
      </w:divBdr>
    </w:div>
    <w:div w:id="155847630">
      <w:bodyDiv w:val="1"/>
      <w:marLeft w:val="0"/>
      <w:marRight w:val="0"/>
      <w:marTop w:val="0"/>
      <w:marBottom w:val="0"/>
      <w:divBdr>
        <w:top w:val="none" w:sz="0" w:space="0" w:color="auto"/>
        <w:left w:val="none" w:sz="0" w:space="0" w:color="auto"/>
        <w:bottom w:val="none" w:sz="0" w:space="0" w:color="auto"/>
        <w:right w:val="none" w:sz="0" w:space="0" w:color="auto"/>
      </w:divBdr>
    </w:div>
    <w:div w:id="220798433">
      <w:bodyDiv w:val="1"/>
      <w:marLeft w:val="0"/>
      <w:marRight w:val="0"/>
      <w:marTop w:val="0"/>
      <w:marBottom w:val="0"/>
      <w:divBdr>
        <w:top w:val="none" w:sz="0" w:space="0" w:color="auto"/>
        <w:left w:val="none" w:sz="0" w:space="0" w:color="auto"/>
        <w:bottom w:val="none" w:sz="0" w:space="0" w:color="auto"/>
        <w:right w:val="none" w:sz="0" w:space="0" w:color="auto"/>
      </w:divBdr>
    </w:div>
    <w:div w:id="230384542">
      <w:bodyDiv w:val="1"/>
      <w:marLeft w:val="0"/>
      <w:marRight w:val="0"/>
      <w:marTop w:val="0"/>
      <w:marBottom w:val="0"/>
      <w:divBdr>
        <w:top w:val="none" w:sz="0" w:space="0" w:color="auto"/>
        <w:left w:val="none" w:sz="0" w:space="0" w:color="auto"/>
        <w:bottom w:val="none" w:sz="0" w:space="0" w:color="auto"/>
        <w:right w:val="none" w:sz="0" w:space="0" w:color="auto"/>
      </w:divBdr>
    </w:div>
    <w:div w:id="230703416">
      <w:bodyDiv w:val="1"/>
      <w:marLeft w:val="0"/>
      <w:marRight w:val="0"/>
      <w:marTop w:val="0"/>
      <w:marBottom w:val="0"/>
      <w:divBdr>
        <w:top w:val="none" w:sz="0" w:space="0" w:color="auto"/>
        <w:left w:val="none" w:sz="0" w:space="0" w:color="auto"/>
        <w:bottom w:val="none" w:sz="0" w:space="0" w:color="auto"/>
        <w:right w:val="none" w:sz="0" w:space="0" w:color="auto"/>
      </w:divBdr>
    </w:div>
    <w:div w:id="231500896">
      <w:bodyDiv w:val="1"/>
      <w:marLeft w:val="0"/>
      <w:marRight w:val="0"/>
      <w:marTop w:val="0"/>
      <w:marBottom w:val="0"/>
      <w:divBdr>
        <w:top w:val="none" w:sz="0" w:space="0" w:color="auto"/>
        <w:left w:val="none" w:sz="0" w:space="0" w:color="auto"/>
        <w:bottom w:val="none" w:sz="0" w:space="0" w:color="auto"/>
        <w:right w:val="none" w:sz="0" w:space="0" w:color="auto"/>
      </w:divBdr>
    </w:div>
    <w:div w:id="257249498">
      <w:bodyDiv w:val="1"/>
      <w:marLeft w:val="0"/>
      <w:marRight w:val="0"/>
      <w:marTop w:val="0"/>
      <w:marBottom w:val="0"/>
      <w:divBdr>
        <w:top w:val="none" w:sz="0" w:space="0" w:color="auto"/>
        <w:left w:val="none" w:sz="0" w:space="0" w:color="auto"/>
        <w:bottom w:val="none" w:sz="0" w:space="0" w:color="auto"/>
        <w:right w:val="none" w:sz="0" w:space="0" w:color="auto"/>
      </w:divBdr>
    </w:div>
    <w:div w:id="261378487">
      <w:bodyDiv w:val="1"/>
      <w:marLeft w:val="0"/>
      <w:marRight w:val="0"/>
      <w:marTop w:val="0"/>
      <w:marBottom w:val="0"/>
      <w:divBdr>
        <w:top w:val="none" w:sz="0" w:space="0" w:color="auto"/>
        <w:left w:val="none" w:sz="0" w:space="0" w:color="auto"/>
        <w:bottom w:val="none" w:sz="0" w:space="0" w:color="auto"/>
        <w:right w:val="none" w:sz="0" w:space="0" w:color="auto"/>
      </w:divBdr>
    </w:div>
    <w:div w:id="267203693">
      <w:bodyDiv w:val="1"/>
      <w:marLeft w:val="0"/>
      <w:marRight w:val="0"/>
      <w:marTop w:val="0"/>
      <w:marBottom w:val="0"/>
      <w:divBdr>
        <w:top w:val="none" w:sz="0" w:space="0" w:color="auto"/>
        <w:left w:val="none" w:sz="0" w:space="0" w:color="auto"/>
        <w:bottom w:val="none" w:sz="0" w:space="0" w:color="auto"/>
        <w:right w:val="none" w:sz="0" w:space="0" w:color="auto"/>
      </w:divBdr>
    </w:div>
    <w:div w:id="269975252">
      <w:bodyDiv w:val="1"/>
      <w:marLeft w:val="0"/>
      <w:marRight w:val="0"/>
      <w:marTop w:val="0"/>
      <w:marBottom w:val="0"/>
      <w:divBdr>
        <w:top w:val="none" w:sz="0" w:space="0" w:color="auto"/>
        <w:left w:val="none" w:sz="0" w:space="0" w:color="auto"/>
        <w:bottom w:val="none" w:sz="0" w:space="0" w:color="auto"/>
        <w:right w:val="none" w:sz="0" w:space="0" w:color="auto"/>
      </w:divBdr>
    </w:div>
    <w:div w:id="280183698">
      <w:bodyDiv w:val="1"/>
      <w:marLeft w:val="0"/>
      <w:marRight w:val="0"/>
      <w:marTop w:val="0"/>
      <w:marBottom w:val="0"/>
      <w:divBdr>
        <w:top w:val="none" w:sz="0" w:space="0" w:color="auto"/>
        <w:left w:val="none" w:sz="0" w:space="0" w:color="auto"/>
        <w:bottom w:val="none" w:sz="0" w:space="0" w:color="auto"/>
        <w:right w:val="none" w:sz="0" w:space="0" w:color="auto"/>
      </w:divBdr>
    </w:div>
    <w:div w:id="337778873">
      <w:bodyDiv w:val="1"/>
      <w:marLeft w:val="0"/>
      <w:marRight w:val="0"/>
      <w:marTop w:val="0"/>
      <w:marBottom w:val="0"/>
      <w:divBdr>
        <w:top w:val="none" w:sz="0" w:space="0" w:color="auto"/>
        <w:left w:val="none" w:sz="0" w:space="0" w:color="auto"/>
        <w:bottom w:val="none" w:sz="0" w:space="0" w:color="auto"/>
        <w:right w:val="none" w:sz="0" w:space="0" w:color="auto"/>
      </w:divBdr>
    </w:div>
    <w:div w:id="362756869">
      <w:bodyDiv w:val="1"/>
      <w:marLeft w:val="0"/>
      <w:marRight w:val="0"/>
      <w:marTop w:val="0"/>
      <w:marBottom w:val="0"/>
      <w:divBdr>
        <w:top w:val="none" w:sz="0" w:space="0" w:color="auto"/>
        <w:left w:val="none" w:sz="0" w:space="0" w:color="auto"/>
        <w:bottom w:val="none" w:sz="0" w:space="0" w:color="auto"/>
        <w:right w:val="none" w:sz="0" w:space="0" w:color="auto"/>
      </w:divBdr>
    </w:div>
    <w:div w:id="368647430">
      <w:bodyDiv w:val="1"/>
      <w:marLeft w:val="0"/>
      <w:marRight w:val="0"/>
      <w:marTop w:val="0"/>
      <w:marBottom w:val="0"/>
      <w:divBdr>
        <w:top w:val="none" w:sz="0" w:space="0" w:color="auto"/>
        <w:left w:val="none" w:sz="0" w:space="0" w:color="auto"/>
        <w:bottom w:val="none" w:sz="0" w:space="0" w:color="auto"/>
        <w:right w:val="none" w:sz="0" w:space="0" w:color="auto"/>
      </w:divBdr>
    </w:div>
    <w:div w:id="387455467">
      <w:bodyDiv w:val="1"/>
      <w:marLeft w:val="0"/>
      <w:marRight w:val="0"/>
      <w:marTop w:val="0"/>
      <w:marBottom w:val="0"/>
      <w:divBdr>
        <w:top w:val="none" w:sz="0" w:space="0" w:color="auto"/>
        <w:left w:val="none" w:sz="0" w:space="0" w:color="auto"/>
        <w:bottom w:val="none" w:sz="0" w:space="0" w:color="auto"/>
        <w:right w:val="none" w:sz="0" w:space="0" w:color="auto"/>
      </w:divBdr>
    </w:div>
    <w:div w:id="393237699">
      <w:bodyDiv w:val="1"/>
      <w:marLeft w:val="0"/>
      <w:marRight w:val="0"/>
      <w:marTop w:val="0"/>
      <w:marBottom w:val="0"/>
      <w:divBdr>
        <w:top w:val="none" w:sz="0" w:space="0" w:color="auto"/>
        <w:left w:val="none" w:sz="0" w:space="0" w:color="auto"/>
        <w:bottom w:val="none" w:sz="0" w:space="0" w:color="auto"/>
        <w:right w:val="none" w:sz="0" w:space="0" w:color="auto"/>
      </w:divBdr>
    </w:div>
    <w:div w:id="437871735">
      <w:bodyDiv w:val="1"/>
      <w:marLeft w:val="0"/>
      <w:marRight w:val="0"/>
      <w:marTop w:val="0"/>
      <w:marBottom w:val="0"/>
      <w:divBdr>
        <w:top w:val="none" w:sz="0" w:space="0" w:color="auto"/>
        <w:left w:val="none" w:sz="0" w:space="0" w:color="auto"/>
        <w:bottom w:val="none" w:sz="0" w:space="0" w:color="auto"/>
        <w:right w:val="none" w:sz="0" w:space="0" w:color="auto"/>
      </w:divBdr>
    </w:div>
    <w:div w:id="453250762">
      <w:bodyDiv w:val="1"/>
      <w:marLeft w:val="0"/>
      <w:marRight w:val="0"/>
      <w:marTop w:val="0"/>
      <w:marBottom w:val="0"/>
      <w:divBdr>
        <w:top w:val="none" w:sz="0" w:space="0" w:color="auto"/>
        <w:left w:val="none" w:sz="0" w:space="0" w:color="auto"/>
        <w:bottom w:val="none" w:sz="0" w:space="0" w:color="auto"/>
        <w:right w:val="none" w:sz="0" w:space="0" w:color="auto"/>
      </w:divBdr>
    </w:div>
    <w:div w:id="453594926">
      <w:bodyDiv w:val="1"/>
      <w:marLeft w:val="0"/>
      <w:marRight w:val="0"/>
      <w:marTop w:val="0"/>
      <w:marBottom w:val="0"/>
      <w:divBdr>
        <w:top w:val="none" w:sz="0" w:space="0" w:color="auto"/>
        <w:left w:val="none" w:sz="0" w:space="0" w:color="auto"/>
        <w:bottom w:val="none" w:sz="0" w:space="0" w:color="auto"/>
        <w:right w:val="none" w:sz="0" w:space="0" w:color="auto"/>
      </w:divBdr>
    </w:div>
    <w:div w:id="458450232">
      <w:bodyDiv w:val="1"/>
      <w:marLeft w:val="0"/>
      <w:marRight w:val="0"/>
      <w:marTop w:val="0"/>
      <w:marBottom w:val="0"/>
      <w:divBdr>
        <w:top w:val="none" w:sz="0" w:space="0" w:color="auto"/>
        <w:left w:val="none" w:sz="0" w:space="0" w:color="auto"/>
        <w:bottom w:val="none" w:sz="0" w:space="0" w:color="auto"/>
        <w:right w:val="none" w:sz="0" w:space="0" w:color="auto"/>
      </w:divBdr>
    </w:div>
    <w:div w:id="471673527">
      <w:bodyDiv w:val="1"/>
      <w:marLeft w:val="0"/>
      <w:marRight w:val="0"/>
      <w:marTop w:val="0"/>
      <w:marBottom w:val="0"/>
      <w:divBdr>
        <w:top w:val="none" w:sz="0" w:space="0" w:color="auto"/>
        <w:left w:val="none" w:sz="0" w:space="0" w:color="auto"/>
        <w:bottom w:val="none" w:sz="0" w:space="0" w:color="auto"/>
        <w:right w:val="none" w:sz="0" w:space="0" w:color="auto"/>
      </w:divBdr>
    </w:div>
    <w:div w:id="594486050">
      <w:bodyDiv w:val="1"/>
      <w:marLeft w:val="0"/>
      <w:marRight w:val="0"/>
      <w:marTop w:val="0"/>
      <w:marBottom w:val="0"/>
      <w:divBdr>
        <w:top w:val="none" w:sz="0" w:space="0" w:color="auto"/>
        <w:left w:val="none" w:sz="0" w:space="0" w:color="auto"/>
        <w:bottom w:val="none" w:sz="0" w:space="0" w:color="auto"/>
        <w:right w:val="none" w:sz="0" w:space="0" w:color="auto"/>
      </w:divBdr>
    </w:div>
    <w:div w:id="609318363">
      <w:bodyDiv w:val="1"/>
      <w:marLeft w:val="0"/>
      <w:marRight w:val="0"/>
      <w:marTop w:val="0"/>
      <w:marBottom w:val="0"/>
      <w:divBdr>
        <w:top w:val="none" w:sz="0" w:space="0" w:color="auto"/>
        <w:left w:val="none" w:sz="0" w:space="0" w:color="auto"/>
        <w:bottom w:val="none" w:sz="0" w:space="0" w:color="auto"/>
        <w:right w:val="none" w:sz="0" w:space="0" w:color="auto"/>
      </w:divBdr>
    </w:div>
    <w:div w:id="633491316">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
    <w:div w:id="679739713">
      <w:bodyDiv w:val="1"/>
      <w:marLeft w:val="0"/>
      <w:marRight w:val="0"/>
      <w:marTop w:val="0"/>
      <w:marBottom w:val="0"/>
      <w:divBdr>
        <w:top w:val="none" w:sz="0" w:space="0" w:color="auto"/>
        <w:left w:val="none" w:sz="0" w:space="0" w:color="auto"/>
        <w:bottom w:val="none" w:sz="0" w:space="0" w:color="auto"/>
        <w:right w:val="none" w:sz="0" w:space="0" w:color="auto"/>
      </w:divBdr>
    </w:div>
    <w:div w:id="732774927">
      <w:bodyDiv w:val="1"/>
      <w:marLeft w:val="0"/>
      <w:marRight w:val="0"/>
      <w:marTop w:val="0"/>
      <w:marBottom w:val="0"/>
      <w:divBdr>
        <w:top w:val="none" w:sz="0" w:space="0" w:color="auto"/>
        <w:left w:val="none" w:sz="0" w:space="0" w:color="auto"/>
        <w:bottom w:val="none" w:sz="0" w:space="0" w:color="auto"/>
        <w:right w:val="none" w:sz="0" w:space="0" w:color="auto"/>
      </w:divBdr>
    </w:div>
    <w:div w:id="747767313">
      <w:bodyDiv w:val="1"/>
      <w:marLeft w:val="0"/>
      <w:marRight w:val="0"/>
      <w:marTop w:val="0"/>
      <w:marBottom w:val="0"/>
      <w:divBdr>
        <w:top w:val="none" w:sz="0" w:space="0" w:color="auto"/>
        <w:left w:val="none" w:sz="0" w:space="0" w:color="auto"/>
        <w:bottom w:val="none" w:sz="0" w:space="0" w:color="auto"/>
        <w:right w:val="none" w:sz="0" w:space="0" w:color="auto"/>
      </w:divBdr>
    </w:div>
    <w:div w:id="749086627">
      <w:bodyDiv w:val="1"/>
      <w:marLeft w:val="0"/>
      <w:marRight w:val="0"/>
      <w:marTop w:val="0"/>
      <w:marBottom w:val="0"/>
      <w:divBdr>
        <w:top w:val="none" w:sz="0" w:space="0" w:color="auto"/>
        <w:left w:val="none" w:sz="0" w:space="0" w:color="auto"/>
        <w:bottom w:val="none" w:sz="0" w:space="0" w:color="auto"/>
        <w:right w:val="none" w:sz="0" w:space="0" w:color="auto"/>
      </w:divBdr>
    </w:div>
    <w:div w:id="768815405">
      <w:bodyDiv w:val="1"/>
      <w:marLeft w:val="0"/>
      <w:marRight w:val="0"/>
      <w:marTop w:val="0"/>
      <w:marBottom w:val="0"/>
      <w:divBdr>
        <w:top w:val="none" w:sz="0" w:space="0" w:color="auto"/>
        <w:left w:val="none" w:sz="0" w:space="0" w:color="auto"/>
        <w:bottom w:val="none" w:sz="0" w:space="0" w:color="auto"/>
        <w:right w:val="none" w:sz="0" w:space="0" w:color="auto"/>
      </w:divBdr>
    </w:div>
    <w:div w:id="769743236">
      <w:bodyDiv w:val="1"/>
      <w:marLeft w:val="0"/>
      <w:marRight w:val="0"/>
      <w:marTop w:val="0"/>
      <w:marBottom w:val="0"/>
      <w:divBdr>
        <w:top w:val="none" w:sz="0" w:space="0" w:color="auto"/>
        <w:left w:val="none" w:sz="0" w:space="0" w:color="auto"/>
        <w:bottom w:val="none" w:sz="0" w:space="0" w:color="auto"/>
        <w:right w:val="none" w:sz="0" w:space="0" w:color="auto"/>
      </w:divBdr>
    </w:div>
    <w:div w:id="790243797">
      <w:bodyDiv w:val="1"/>
      <w:marLeft w:val="0"/>
      <w:marRight w:val="0"/>
      <w:marTop w:val="0"/>
      <w:marBottom w:val="0"/>
      <w:divBdr>
        <w:top w:val="none" w:sz="0" w:space="0" w:color="auto"/>
        <w:left w:val="none" w:sz="0" w:space="0" w:color="auto"/>
        <w:bottom w:val="none" w:sz="0" w:space="0" w:color="auto"/>
        <w:right w:val="none" w:sz="0" w:space="0" w:color="auto"/>
      </w:divBdr>
    </w:div>
    <w:div w:id="793057134">
      <w:bodyDiv w:val="1"/>
      <w:marLeft w:val="0"/>
      <w:marRight w:val="0"/>
      <w:marTop w:val="0"/>
      <w:marBottom w:val="0"/>
      <w:divBdr>
        <w:top w:val="none" w:sz="0" w:space="0" w:color="auto"/>
        <w:left w:val="none" w:sz="0" w:space="0" w:color="auto"/>
        <w:bottom w:val="none" w:sz="0" w:space="0" w:color="auto"/>
        <w:right w:val="none" w:sz="0" w:space="0" w:color="auto"/>
      </w:divBdr>
    </w:div>
    <w:div w:id="804348206">
      <w:bodyDiv w:val="1"/>
      <w:marLeft w:val="0"/>
      <w:marRight w:val="0"/>
      <w:marTop w:val="0"/>
      <w:marBottom w:val="0"/>
      <w:divBdr>
        <w:top w:val="none" w:sz="0" w:space="0" w:color="auto"/>
        <w:left w:val="none" w:sz="0" w:space="0" w:color="auto"/>
        <w:bottom w:val="none" w:sz="0" w:space="0" w:color="auto"/>
        <w:right w:val="none" w:sz="0" w:space="0" w:color="auto"/>
      </w:divBdr>
    </w:div>
    <w:div w:id="808984070">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829059455">
      <w:bodyDiv w:val="1"/>
      <w:marLeft w:val="0"/>
      <w:marRight w:val="0"/>
      <w:marTop w:val="0"/>
      <w:marBottom w:val="0"/>
      <w:divBdr>
        <w:top w:val="none" w:sz="0" w:space="0" w:color="auto"/>
        <w:left w:val="none" w:sz="0" w:space="0" w:color="auto"/>
        <w:bottom w:val="none" w:sz="0" w:space="0" w:color="auto"/>
        <w:right w:val="none" w:sz="0" w:space="0" w:color="auto"/>
      </w:divBdr>
    </w:div>
    <w:div w:id="831215040">
      <w:bodyDiv w:val="1"/>
      <w:marLeft w:val="0"/>
      <w:marRight w:val="0"/>
      <w:marTop w:val="0"/>
      <w:marBottom w:val="0"/>
      <w:divBdr>
        <w:top w:val="none" w:sz="0" w:space="0" w:color="auto"/>
        <w:left w:val="none" w:sz="0" w:space="0" w:color="auto"/>
        <w:bottom w:val="none" w:sz="0" w:space="0" w:color="auto"/>
        <w:right w:val="none" w:sz="0" w:space="0" w:color="auto"/>
      </w:divBdr>
    </w:div>
    <w:div w:id="852299273">
      <w:bodyDiv w:val="1"/>
      <w:marLeft w:val="0"/>
      <w:marRight w:val="0"/>
      <w:marTop w:val="0"/>
      <w:marBottom w:val="0"/>
      <w:divBdr>
        <w:top w:val="none" w:sz="0" w:space="0" w:color="auto"/>
        <w:left w:val="none" w:sz="0" w:space="0" w:color="auto"/>
        <w:bottom w:val="none" w:sz="0" w:space="0" w:color="auto"/>
        <w:right w:val="none" w:sz="0" w:space="0" w:color="auto"/>
      </w:divBdr>
    </w:div>
    <w:div w:id="866017924">
      <w:bodyDiv w:val="1"/>
      <w:marLeft w:val="0"/>
      <w:marRight w:val="0"/>
      <w:marTop w:val="0"/>
      <w:marBottom w:val="0"/>
      <w:divBdr>
        <w:top w:val="none" w:sz="0" w:space="0" w:color="auto"/>
        <w:left w:val="none" w:sz="0" w:space="0" w:color="auto"/>
        <w:bottom w:val="none" w:sz="0" w:space="0" w:color="auto"/>
        <w:right w:val="none" w:sz="0" w:space="0" w:color="auto"/>
      </w:divBdr>
    </w:div>
    <w:div w:id="891699318">
      <w:bodyDiv w:val="1"/>
      <w:marLeft w:val="0"/>
      <w:marRight w:val="0"/>
      <w:marTop w:val="0"/>
      <w:marBottom w:val="0"/>
      <w:divBdr>
        <w:top w:val="none" w:sz="0" w:space="0" w:color="auto"/>
        <w:left w:val="none" w:sz="0" w:space="0" w:color="auto"/>
        <w:bottom w:val="none" w:sz="0" w:space="0" w:color="auto"/>
        <w:right w:val="none" w:sz="0" w:space="0" w:color="auto"/>
      </w:divBdr>
    </w:div>
    <w:div w:id="910777350">
      <w:bodyDiv w:val="1"/>
      <w:marLeft w:val="0"/>
      <w:marRight w:val="0"/>
      <w:marTop w:val="0"/>
      <w:marBottom w:val="0"/>
      <w:divBdr>
        <w:top w:val="none" w:sz="0" w:space="0" w:color="auto"/>
        <w:left w:val="none" w:sz="0" w:space="0" w:color="auto"/>
        <w:bottom w:val="none" w:sz="0" w:space="0" w:color="auto"/>
        <w:right w:val="none" w:sz="0" w:space="0" w:color="auto"/>
      </w:divBdr>
    </w:div>
    <w:div w:id="917783640">
      <w:bodyDiv w:val="1"/>
      <w:marLeft w:val="0"/>
      <w:marRight w:val="0"/>
      <w:marTop w:val="0"/>
      <w:marBottom w:val="0"/>
      <w:divBdr>
        <w:top w:val="none" w:sz="0" w:space="0" w:color="auto"/>
        <w:left w:val="none" w:sz="0" w:space="0" w:color="auto"/>
        <w:bottom w:val="none" w:sz="0" w:space="0" w:color="auto"/>
        <w:right w:val="none" w:sz="0" w:space="0" w:color="auto"/>
      </w:divBdr>
    </w:div>
    <w:div w:id="970867288">
      <w:bodyDiv w:val="1"/>
      <w:marLeft w:val="0"/>
      <w:marRight w:val="0"/>
      <w:marTop w:val="0"/>
      <w:marBottom w:val="0"/>
      <w:divBdr>
        <w:top w:val="none" w:sz="0" w:space="0" w:color="auto"/>
        <w:left w:val="none" w:sz="0" w:space="0" w:color="auto"/>
        <w:bottom w:val="none" w:sz="0" w:space="0" w:color="auto"/>
        <w:right w:val="none" w:sz="0" w:space="0" w:color="auto"/>
      </w:divBdr>
    </w:div>
    <w:div w:id="982731359">
      <w:bodyDiv w:val="1"/>
      <w:marLeft w:val="0"/>
      <w:marRight w:val="0"/>
      <w:marTop w:val="0"/>
      <w:marBottom w:val="0"/>
      <w:divBdr>
        <w:top w:val="none" w:sz="0" w:space="0" w:color="auto"/>
        <w:left w:val="none" w:sz="0" w:space="0" w:color="auto"/>
        <w:bottom w:val="none" w:sz="0" w:space="0" w:color="auto"/>
        <w:right w:val="none" w:sz="0" w:space="0" w:color="auto"/>
      </w:divBdr>
    </w:div>
    <w:div w:id="997420361">
      <w:bodyDiv w:val="1"/>
      <w:marLeft w:val="0"/>
      <w:marRight w:val="0"/>
      <w:marTop w:val="0"/>
      <w:marBottom w:val="0"/>
      <w:divBdr>
        <w:top w:val="none" w:sz="0" w:space="0" w:color="auto"/>
        <w:left w:val="none" w:sz="0" w:space="0" w:color="auto"/>
        <w:bottom w:val="none" w:sz="0" w:space="0" w:color="auto"/>
        <w:right w:val="none" w:sz="0" w:space="0" w:color="auto"/>
      </w:divBdr>
    </w:div>
    <w:div w:id="998191763">
      <w:bodyDiv w:val="1"/>
      <w:marLeft w:val="0"/>
      <w:marRight w:val="0"/>
      <w:marTop w:val="0"/>
      <w:marBottom w:val="0"/>
      <w:divBdr>
        <w:top w:val="none" w:sz="0" w:space="0" w:color="auto"/>
        <w:left w:val="none" w:sz="0" w:space="0" w:color="auto"/>
        <w:bottom w:val="none" w:sz="0" w:space="0" w:color="auto"/>
        <w:right w:val="none" w:sz="0" w:space="0" w:color="auto"/>
      </w:divBdr>
    </w:div>
    <w:div w:id="1018773591">
      <w:bodyDiv w:val="1"/>
      <w:marLeft w:val="0"/>
      <w:marRight w:val="0"/>
      <w:marTop w:val="0"/>
      <w:marBottom w:val="0"/>
      <w:divBdr>
        <w:top w:val="none" w:sz="0" w:space="0" w:color="auto"/>
        <w:left w:val="none" w:sz="0" w:space="0" w:color="auto"/>
        <w:bottom w:val="none" w:sz="0" w:space="0" w:color="auto"/>
        <w:right w:val="none" w:sz="0" w:space="0" w:color="auto"/>
      </w:divBdr>
    </w:div>
    <w:div w:id="1035278997">
      <w:bodyDiv w:val="1"/>
      <w:marLeft w:val="0"/>
      <w:marRight w:val="0"/>
      <w:marTop w:val="0"/>
      <w:marBottom w:val="0"/>
      <w:divBdr>
        <w:top w:val="none" w:sz="0" w:space="0" w:color="auto"/>
        <w:left w:val="none" w:sz="0" w:space="0" w:color="auto"/>
        <w:bottom w:val="none" w:sz="0" w:space="0" w:color="auto"/>
        <w:right w:val="none" w:sz="0" w:space="0" w:color="auto"/>
      </w:divBdr>
    </w:div>
    <w:div w:id="1040017089">
      <w:bodyDiv w:val="1"/>
      <w:marLeft w:val="0"/>
      <w:marRight w:val="0"/>
      <w:marTop w:val="0"/>
      <w:marBottom w:val="0"/>
      <w:divBdr>
        <w:top w:val="none" w:sz="0" w:space="0" w:color="auto"/>
        <w:left w:val="none" w:sz="0" w:space="0" w:color="auto"/>
        <w:bottom w:val="none" w:sz="0" w:space="0" w:color="auto"/>
        <w:right w:val="none" w:sz="0" w:space="0" w:color="auto"/>
      </w:divBdr>
    </w:div>
    <w:div w:id="1041053577">
      <w:bodyDiv w:val="1"/>
      <w:marLeft w:val="0"/>
      <w:marRight w:val="0"/>
      <w:marTop w:val="0"/>
      <w:marBottom w:val="0"/>
      <w:divBdr>
        <w:top w:val="none" w:sz="0" w:space="0" w:color="auto"/>
        <w:left w:val="none" w:sz="0" w:space="0" w:color="auto"/>
        <w:bottom w:val="none" w:sz="0" w:space="0" w:color="auto"/>
        <w:right w:val="none" w:sz="0" w:space="0" w:color="auto"/>
      </w:divBdr>
    </w:div>
    <w:div w:id="1041789236">
      <w:bodyDiv w:val="1"/>
      <w:marLeft w:val="0"/>
      <w:marRight w:val="0"/>
      <w:marTop w:val="0"/>
      <w:marBottom w:val="0"/>
      <w:divBdr>
        <w:top w:val="none" w:sz="0" w:space="0" w:color="auto"/>
        <w:left w:val="none" w:sz="0" w:space="0" w:color="auto"/>
        <w:bottom w:val="none" w:sz="0" w:space="0" w:color="auto"/>
        <w:right w:val="none" w:sz="0" w:space="0" w:color="auto"/>
      </w:divBdr>
    </w:div>
    <w:div w:id="1059934179">
      <w:bodyDiv w:val="1"/>
      <w:marLeft w:val="0"/>
      <w:marRight w:val="0"/>
      <w:marTop w:val="0"/>
      <w:marBottom w:val="0"/>
      <w:divBdr>
        <w:top w:val="none" w:sz="0" w:space="0" w:color="auto"/>
        <w:left w:val="none" w:sz="0" w:space="0" w:color="auto"/>
        <w:bottom w:val="none" w:sz="0" w:space="0" w:color="auto"/>
        <w:right w:val="none" w:sz="0" w:space="0" w:color="auto"/>
      </w:divBdr>
    </w:div>
    <w:div w:id="1086343457">
      <w:bodyDiv w:val="1"/>
      <w:marLeft w:val="0"/>
      <w:marRight w:val="0"/>
      <w:marTop w:val="0"/>
      <w:marBottom w:val="0"/>
      <w:divBdr>
        <w:top w:val="none" w:sz="0" w:space="0" w:color="auto"/>
        <w:left w:val="none" w:sz="0" w:space="0" w:color="auto"/>
        <w:bottom w:val="none" w:sz="0" w:space="0" w:color="auto"/>
        <w:right w:val="none" w:sz="0" w:space="0" w:color="auto"/>
      </w:divBdr>
    </w:div>
    <w:div w:id="1101799058">
      <w:bodyDiv w:val="1"/>
      <w:marLeft w:val="0"/>
      <w:marRight w:val="0"/>
      <w:marTop w:val="0"/>
      <w:marBottom w:val="0"/>
      <w:divBdr>
        <w:top w:val="none" w:sz="0" w:space="0" w:color="auto"/>
        <w:left w:val="none" w:sz="0" w:space="0" w:color="auto"/>
        <w:bottom w:val="none" w:sz="0" w:space="0" w:color="auto"/>
        <w:right w:val="none" w:sz="0" w:space="0" w:color="auto"/>
      </w:divBdr>
    </w:div>
    <w:div w:id="1140002685">
      <w:bodyDiv w:val="1"/>
      <w:marLeft w:val="0"/>
      <w:marRight w:val="0"/>
      <w:marTop w:val="0"/>
      <w:marBottom w:val="0"/>
      <w:divBdr>
        <w:top w:val="none" w:sz="0" w:space="0" w:color="auto"/>
        <w:left w:val="none" w:sz="0" w:space="0" w:color="auto"/>
        <w:bottom w:val="none" w:sz="0" w:space="0" w:color="auto"/>
        <w:right w:val="none" w:sz="0" w:space="0" w:color="auto"/>
      </w:divBdr>
    </w:div>
    <w:div w:id="1184051031">
      <w:bodyDiv w:val="1"/>
      <w:marLeft w:val="0"/>
      <w:marRight w:val="0"/>
      <w:marTop w:val="0"/>
      <w:marBottom w:val="0"/>
      <w:divBdr>
        <w:top w:val="none" w:sz="0" w:space="0" w:color="auto"/>
        <w:left w:val="none" w:sz="0" w:space="0" w:color="auto"/>
        <w:bottom w:val="none" w:sz="0" w:space="0" w:color="auto"/>
        <w:right w:val="none" w:sz="0" w:space="0" w:color="auto"/>
      </w:divBdr>
    </w:div>
    <w:div w:id="1217741503">
      <w:bodyDiv w:val="1"/>
      <w:marLeft w:val="0"/>
      <w:marRight w:val="0"/>
      <w:marTop w:val="0"/>
      <w:marBottom w:val="0"/>
      <w:divBdr>
        <w:top w:val="none" w:sz="0" w:space="0" w:color="auto"/>
        <w:left w:val="none" w:sz="0" w:space="0" w:color="auto"/>
        <w:bottom w:val="none" w:sz="0" w:space="0" w:color="auto"/>
        <w:right w:val="none" w:sz="0" w:space="0" w:color="auto"/>
      </w:divBdr>
    </w:div>
    <w:div w:id="1246841307">
      <w:bodyDiv w:val="1"/>
      <w:marLeft w:val="0"/>
      <w:marRight w:val="0"/>
      <w:marTop w:val="0"/>
      <w:marBottom w:val="0"/>
      <w:divBdr>
        <w:top w:val="none" w:sz="0" w:space="0" w:color="auto"/>
        <w:left w:val="none" w:sz="0" w:space="0" w:color="auto"/>
        <w:bottom w:val="none" w:sz="0" w:space="0" w:color="auto"/>
        <w:right w:val="none" w:sz="0" w:space="0" w:color="auto"/>
      </w:divBdr>
    </w:div>
    <w:div w:id="1252161012">
      <w:bodyDiv w:val="1"/>
      <w:marLeft w:val="0"/>
      <w:marRight w:val="0"/>
      <w:marTop w:val="0"/>
      <w:marBottom w:val="0"/>
      <w:divBdr>
        <w:top w:val="none" w:sz="0" w:space="0" w:color="auto"/>
        <w:left w:val="none" w:sz="0" w:space="0" w:color="auto"/>
        <w:bottom w:val="none" w:sz="0" w:space="0" w:color="auto"/>
        <w:right w:val="none" w:sz="0" w:space="0" w:color="auto"/>
      </w:divBdr>
    </w:div>
    <w:div w:id="1254359100">
      <w:bodyDiv w:val="1"/>
      <w:marLeft w:val="0"/>
      <w:marRight w:val="0"/>
      <w:marTop w:val="0"/>
      <w:marBottom w:val="0"/>
      <w:divBdr>
        <w:top w:val="none" w:sz="0" w:space="0" w:color="auto"/>
        <w:left w:val="none" w:sz="0" w:space="0" w:color="auto"/>
        <w:bottom w:val="none" w:sz="0" w:space="0" w:color="auto"/>
        <w:right w:val="none" w:sz="0" w:space="0" w:color="auto"/>
      </w:divBdr>
    </w:div>
    <w:div w:id="1257519279">
      <w:bodyDiv w:val="1"/>
      <w:marLeft w:val="0"/>
      <w:marRight w:val="0"/>
      <w:marTop w:val="0"/>
      <w:marBottom w:val="0"/>
      <w:divBdr>
        <w:top w:val="none" w:sz="0" w:space="0" w:color="auto"/>
        <w:left w:val="none" w:sz="0" w:space="0" w:color="auto"/>
        <w:bottom w:val="none" w:sz="0" w:space="0" w:color="auto"/>
        <w:right w:val="none" w:sz="0" w:space="0" w:color="auto"/>
      </w:divBdr>
    </w:div>
    <w:div w:id="1277980868">
      <w:bodyDiv w:val="1"/>
      <w:marLeft w:val="0"/>
      <w:marRight w:val="0"/>
      <w:marTop w:val="0"/>
      <w:marBottom w:val="0"/>
      <w:divBdr>
        <w:top w:val="none" w:sz="0" w:space="0" w:color="auto"/>
        <w:left w:val="none" w:sz="0" w:space="0" w:color="auto"/>
        <w:bottom w:val="none" w:sz="0" w:space="0" w:color="auto"/>
        <w:right w:val="none" w:sz="0" w:space="0" w:color="auto"/>
      </w:divBdr>
    </w:div>
    <w:div w:id="1301350923">
      <w:bodyDiv w:val="1"/>
      <w:marLeft w:val="0"/>
      <w:marRight w:val="0"/>
      <w:marTop w:val="0"/>
      <w:marBottom w:val="0"/>
      <w:divBdr>
        <w:top w:val="none" w:sz="0" w:space="0" w:color="auto"/>
        <w:left w:val="none" w:sz="0" w:space="0" w:color="auto"/>
        <w:bottom w:val="none" w:sz="0" w:space="0" w:color="auto"/>
        <w:right w:val="none" w:sz="0" w:space="0" w:color="auto"/>
      </w:divBdr>
    </w:div>
    <w:div w:id="1329283880">
      <w:bodyDiv w:val="1"/>
      <w:marLeft w:val="0"/>
      <w:marRight w:val="0"/>
      <w:marTop w:val="0"/>
      <w:marBottom w:val="0"/>
      <w:divBdr>
        <w:top w:val="none" w:sz="0" w:space="0" w:color="auto"/>
        <w:left w:val="none" w:sz="0" w:space="0" w:color="auto"/>
        <w:bottom w:val="none" w:sz="0" w:space="0" w:color="auto"/>
        <w:right w:val="none" w:sz="0" w:space="0" w:color="auto"/>
      </w:divBdr>
    </w:div>
    <w:div w:id="1335180713">
      <w:bodyDiv w:val="1"/>
      <w:marLeft w:val="0"/>
      <w:marRight w:val="0"/>
      <w:marTop w:val="0"/>
      <w:marBottom w:val="0"/>
      <w:divBdr>
        <w:top w:val="none" w:sz="0" w:space="0" w:color="auto"/>
        <w:left w:val="none" w:sz="0" w:space="0" w:color="auto"/>
        <w:bottom w:val="none" w:sz="0" w:space="0" w:color="auto"/>
        <w:right w:val="none" w:sz="0" w:space="0" w:color="auto"/>
      </w:divBdr>
    </w:div>
    <w:div w:id="1345282344">
      <w:bodyDiv w:val="1"/>
      <w:marLeft w:val="0"/>
      <w:marRight w:val="0"/>
      <w:marTop w:val="0"/>
      <w:marBottom w:val="0"/>
      <w:divBdr>
        <w:top w:val="none" w:sz="0" w:space="0" w:color="auto"/>
        <w:left w:val="none" w:sz="0" w:space="0" w:color="auto"/>
        <w:bottom w:val="none" w:sz="0" w:space="0" w:color="auto"/>
        <w:right w:val="none" w:sz="0" w:space="0" w:color="auto"/>
      </w:divBdr>
    </w:div>
    <w:div w:id="1348026117">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358920839">
      <w:bodyDiv w:val="1"/>
      <w:marLeft w:val="0"/>
      <w:marRight w:val="0"/>
      <w:marTop w:val="0"/>
      <w:marBottom w:val="0"/>
      <w:divBdr>
        <w:top w:val="none" w:sz="0" w:space="0" w:color="auto"/>
        <w:left w:val="none" w:sz="0" w:space="0" w:color="auto"/>
        <w:bottom w:val="none" w:sz="0" w:space="0" w:color="auto"/>
        <w:right w:val="none" w:sz="0" w:space="0" w:color="auto"/>
      </w:divBdr>
    </w:div>
    <w:div w:id="1370717723">
      <w:bodyDiv w:val="1"/>
      <w:marLeft w:val="0"/>
      <w:marRight w:val="0"/>
      <w:marTop w:val="0"/>
      <w:marBottom w:val="0"/>
      <w:divBdr>
        <w:top w:val="none" w:sz="0" w:space="0" w:color="auto"/>
        <w:left w:val="none" w:sz="0" w:space="0" w:color="auto"/>
        <w:bottom w:val="none" w:sz="0" w:space="0" w:color="auto"/>
        <w:right w:val="none" w:sz="0" w:space="0" w:color="auto"/>
      </w:divBdr>
    </w:div>
    <w:div w:id="1381127081">
      <w:bodyDiv w:val="1"/>
      <w:marLeft w:val="0"/>
      <w:marRight w:val="0"/>
      <w:marTop w:val="0"/>
      <w:marBottom w:val="0"/>
      <w:divBdr>
        <w:top w:val="none" w:sz="0" w:space="0" w:color="auto"/>
        <w:left w:val="none" w:sz="0" w:space="0" w:color="auto"/>
        <w:bottom w:val="none" w:sz="0" w:space="0" w:color="auto"/>
        <w:right w:val="none" w:sz="0" w:space="0" w:color="auto"/>
      </w:divBdr>
    </w:div>
    <w:div w:id="1387416442">
      <w:bodyDiv w:val="1"/>
      <w:marLeft w:val="0"/>
      <w:marRight w:val="0"/>
      <w:marTop w:val="0"/>
      <w:marBottom w:val="0"/>
      <w:divBdr>
        <w:top w:val="none" w:sz="0" w:space="0" w:color="auto"/>
        <w:left w:val="none" w:sz="0" w:space="0" w:color="auto"/>
        <w:bottom w:val="none" w:sz="0" w:space="0" w:color="auto"/>
        <w:right w:val="none" w:sz="0" w:space="0" w:color="auto"/>
      </w:divBdr>
    </w:div>
    <w:div w:id="1416854321">
      <w:bodyDiv w:val="1"/>
      <w:marLeft w:val="0"/>
      <w:marRight w:val="0"/>
      <w:marTop w:val="0"/>
      <w:marBottom w:val="0"/>
      <w:divBdr>
        <w:top w:val="none" w:sz="0" w:space="0" w:color="auto"/>
        <w:left w:val="none" w:sz="0" w:space="0" w:color="auto"/>
        <w:bottom w:val="none" w:sz="0" w:space="0" w:color="auto"/>
        <w:right w:val="none" w:sz="0" w:space="0" w:color="auto"/>
      </w:divBdr>
    </w:div>
    <w:div w:id="1467237086">
      <w:bodyDiv w:val="1"/>
      <w:marLeft w:val="0"/>
      <w:marRight w:val="0"/>
      <w:marTop w:val="0"/>
      <w:marBottom w:val="0"/>
      <w:divBdr>
        <w:top w:val="none" w:sz="0" w:space="0" w:color="auto"/>
        <w:left w:val="none" w:sz="0" w:space="0" w:color="auto"/>
        <w:bottom w:val="none" w:sz="0" w:space="0" w:color="auto"/>
        <w:right w:val="none" w:sz="0" w:space="0" w:color="auto"/>
      </w:divBdr>
    </w:div>
    <w:div w:id="1506359173">
      <w:bodyDiv w:val="1"/>
      <w:marLeft w:val="0"/>
      <w:marRight w:val="0"/>
      <w:marTop w:val="0"/>
      <w:marBottom w:val="0"/>
      <w:divBdr>
        <w:top w:val="none" w:sz="0" w:space="0" w:color="auto"/>
        <w:left w:val="none" w:sz="0" w:space="0" w:color="auto"/>
        <w:bottom w:val="none" w:sz="0" w:space="0" w:color="auto"/>
        <w:right w:val="none" w:sz="0" w:space="0" w:color="auto"/>
      </w:divBdr>
    </w:div>
    <w:div w:id="1610625927">
      <w:bodyDiv w:val="1"/>
      <w:marLeft w:val="0"/>
      <w:marRight w:val="0"/>
      <w:marTop w:val="0"/>
      <w:marBottom w:val="0"/>
      <w:divBdr>
        <w:top w:val="none" w:sz="0" w:space="0" w:color="auto"/>
        <w:left w:val="none" w:sz="0" w:space="0" w:color="auto"/>
        <w:bottom w:val="none" w:sz="0" w:space="0" w:color="auto"/>
        <w:right w:val="none" w:sz="0" w:space="0" w:color="auto"/>
      </w:divBdr>
    </w:div>
    <w:div w:id="162280347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
    <w:div w:id="1671176505">
      <w:bodyDiv w:val="1"/>
      <w:marLeft w:val="0"/>
      <w:marRight w:val="0"/>
      <w:marTop w:val="0"/>
      <w:marBottom w:val="0"/>
      <w:divBdr>
        <w:top w:val="none" w:sz="0" w:space="0" w:color="auto"/>
        <w:left w:val="none" w:sz="0" w:space="0" w:color="auto"/>
        <w:bottom w:val="none" w:sz="0" w:space="0" w:color="auto"/>
        <w:right w:val="none" w:sz="0" w:space="0" w:color="auto"/>
      </w:divBdr>
    </w:div>
    <w:div w:id="1678265728">
      <w:bodyDiv w:val="1"/>
      <w:marLeft w:val="0"/>
      <w:marRight w:val="0"/>
      <w:marTop w:val="0"/>
      <w:marBottom w:val="0"/>
      <w:divBdr>
        <w:top w:val="none" w:sz="0" w:space="0" w:color="auto"/>
        <w:left w:val="none" w:sz="0" w:space="0" w:color="auto"/>
        <w:bottom w:val="none" w:sz="0" w:space="0" w:color="auto"/>
        <w:right w:val="none" w:sz="0" w:space="0" w:color="auto"/>
      </w:divBdr>
    </w:div>
    <w:div w:id="1704020766">
      <w:bodyDiv w:val="1"/>
      <w:marLeft w:val="0"/>
      <w:marRight w:val="0"/>
      <w:marTop w:val="0"/>
      <w:marBottom w:val="0"/>
      <w:divBdr>
        <w:top w:val="none" w:sz="0" w:space="0" w:color="auto"/>
        <w:left w:val="none" w:sz="0" w:space="0" w:color="auto"/>
        <w:bottom w:val="none" w:sz="0" w:space="0" w:color="auto"/>
        <w:right w:val="none" w:sz="0" w:space="0" w:color="auto"/>
      </w:divBdr>
    </w:div>
    <w:div w:id="1707948287">
      <w:bodyDiv w:val="1"/>
      <w:marLeft w:val="0"/>
      <w:marRight w:val="0"/>
      <w:marTop w:val="0"/>
      <w:marBottom w:val="0"/>
      <w:divBdr>
        <w:top w:val="none" w:sz="0" w:space="0" w:color="auto"/>
        <w:left w:val="none" w:sz="0" w:space="0" w:color="auto"/>
        <w:bottom w:val="none" w:sz="0" w:space="0" w:color="auto"/>
        <w:right w:val="none" w:sz="0" w:space="0" w:color="auto"/>
      </w:divBdr>
    </w:div>
    <w:div w:id="1719236585">
      <w:bodyDiv w:val="1"/>
      <w:marLeft w:val="0"/>
      <w:marRight w:val="0"/>
      <w:marTop w:val="0"/>
      <w:marBottom w:val="0"/>
      <w:divBdr>
        <w:top w:val="none" w:sz="0" w:space="0" w:color="auto"/>
        <w:left w:val="none" w:sz="0" w:space="0" w:color="auto"/>
        <w:bottom w:val="none" w:sz="0" w:space="0" w:color="auto"/>
        <w:right w:val="none" w:sz="0" w:space="0" w:color="auto"/>
      </w:divBdr>
    </w:div>
    <w:div w:id="1729187167">
      <w:bodyDiv w:val="1"/>
      <w:marLeft w:val="0"/>
      <w:marRight w:val="0"/>
      <w:marTop w:val="0"/>
      <w:marBottom w:val="0"/>
      <w:divBdr>
        <w:top w:val="none" w:sz="0" w:space="0" w:color="auto"/>
        <w:left w:val="none" w:sz="0" w:space="0" w:color="auto"/>
        <w:bottom w:val="none" w:sz="0" w:space="0" w:color="auto"/>
        <w:right w:val="none" w:sz="0" w:space="0" w:color="auto"/>
      </w:divBdr>
    </w:div>
    <w:div w:id="1739480522">
      <w:bodyDiv w:val="1"/>
      <w:marLeft w:val="0"/>
      <w:marRight w:val="0"/>
      <w:marTop w:val="0"/>
      <w:marBottom w:val="0"/>
      <w:divBdr>
        <w:top w:val="none" w:sz="0" w:space="0" w:color="auto"/>
        <w:left w:val="none" w:sz="0" w:space="0" w:color="auto"/>
        <w:bottom w:val="none" w:sz="0" w:space="0" w:color="auto"/>
        <w:right w:val="none" w:sz="0" w:space="0" w:color="auto"/>
      </w:divBdr>
    </w:div>
    <w:div w:id="1746492315">
      <w:bodyDiv w:val="1"/>
      <w:marLeft w:val="0"/>
      <w:marRight w:val="0"/>
      <w:marTop w:val="0"/>
      <w:marBottom w:val="0"/>
      <w:divBdr>
        <w:top w:val="none" w:sz="0" w:space="0" w:color="auto"/>
        <w:left w:val="none" w:sz="0" w:space="0" w:color="auto"/>
        <w:bottom w:val="none" w:sz="0" w:space="0" w:color="auto"/>
        <w:right w:val="none" w:sz="0" w:space="0" w:color="auto"/>
      </w:divBdr>
    </w:div>
    <w:div w:id="1783646805">
      <w:bodyDiv w:val="1"/>
      <w:marLeft w:val="0"/>
      <w:marRight w:val="0"/>
      <w:marTop w:val="0"/>
      <w:marBottom w:val="0"/>
      <w:divBdr>
        <w:top w:val="none" w:sz="0" w:space="0" w:color="auto"/>
        <w:left w:val="none" w:sz="0" w:space="0" w:color="auto"/>
        <w:bottom w:val="none" w:sz="0" w:space="0" w:color="auto"/>
        <w:right w:val="none" w:sz="0" w:space="0" w:color="auto"/>
      </w:divBdr>
    </w:div>
    <w:div w:id="1785075603">
      <w:bodyDiv w:val="1"/>
      <w:marLeft w:val="0"/>
      <w:marRight w:val="0"/>
      <w:marTop w:val="0"/>
      <w:marBottom w:val="0"/>
      <w:divBdr>
        <w:top w:val="none" w:sz="0" w:space="0" w:color="auto"/>
        <w:left w:val="none" w:sz="0" w:space="0" w:color="auto"/>
        <w:bottom w:val="none" w:sz="0" w:space="0" w:color="auto"/>
        <w:right w:val="none" w:sz="0" w:space="0" w:color="auto"/>
      </w:divBdr>
    </w:div>
    <w:div w:id="1856263487">
      <w:bodyDiv w:val="1"/>
      <w:marLeft w:val="0"/>
      <w:marRight w:val="0"/>
      <w:marTop w:val="0"/>
      <w:marBottom w:val="0"/>
      <w:divBdr>
        <w:top w:val="none" w:sz="0" w:space="0" w:color="auto"/>
        <w:left w:val="none" w:sz="0" w:space="0" w:color="auto"/>
        <w:bottom w:val="none" w:sz="0" w:space="0" w:color="auto"/>
        <w:right w:val="none" w:sz="0" w:space="0" w:color="auto"/>
      </w:divBdr>
    </w:div>
    <w:div w:id="1857311009">
      <w:bodyDiv w:val="1"/>
      <w:marLeft w:val="0"/>
      <w:marRight w:val="0"/>
      <w:marTop w:val="0"/>
      <w:marBottom w:val="0"/>
      <w:divBdr>
        <w:top w:val="none" w:sz="0" w:space="0" w:color="auto"/>
        <w:left w:val="none" w:sz="0" w:space="0" w:color="auto"/>
        <w:bottom w:val="none" w:sz="0" w:space="0" w:color="auto"/>
        <w:right w:val="none" w:sz="0" w:space="0" w:color="auto"/>
      </w:divBdr>
    </w:div>
    <w:div w:id="1883710009">
      <w:bodyDiv w:val="1"/>
      <w:marLeft w:val="0"/>
      <w:marRight w:val="0"/>
      <w:marTop w:val="0"/>
      <w:marBottom w:val="0"/>
      <w:divBdr>
        <w:top w:val="none" w:sz="0" w:space="0" w:color="auto"/>
        <w:left w:val="none" w:sz="0" w:space="0" w:color="auto"/>
        <w:bottom w:val="none" w:sz="0" w:space="0" w:color="auto"/>
        <w:right w:val="none" w:sz="0" w:space="0" w:color="auto"/>
      </w:divBdr>
    </w:div>
    <w:div w:id="1905138159">
      <w:bodyDiv w:val="1"/>
      <w:marLeft w:val="0"/>
      <w:marRight w:val="0"/>
      <w:marTop w:val="0"/>
      <w:marBottom w:val="0"/>
      <w:divBdr>
        <w:top w:val="none" w:sz="0" w:space="0" w:color="auto"/>
        <w:left w:val="none" w:sz="0" w:space="0" w:color="auto"/>
        <w:bottom w:val="none" w:sz="0" w:space="0" w:color="auto"/>
        <w:right w:val="none" w:sz="0" w:space="0" w:color="auto"/>
      </w:divBdr>
    </w:div>
    <w:div w:id="1910535122">
      <w:bodyDiv w:val="1"/>
      <w:marLeft w:val="0"/>
      <w:marRight w:val="0"/>
      <w:marTop w:val="0"/>
      <w:marBottom w:val="0"/>
      <w:divBdr>
        <w:top w:val="none" w:sz="0" w:space="0" w:color="auto"/>
        <w:left w:val="none" w:sz="0" w:space="0" w:color="auto"/>
        <w:bottom w:val="none" w:sz="0" w:space="0" w:color="auto"/>
        <w:right w:val="none" w:sz="0" w:space="0" w:color="auto"/>
      </w:divBdr>
    </w:div>
    <w:div w:id="1924680485">
      <w:bodyDiv w:val="1"/>
      <w:marLeft w:val="0"/>
      <w:marRight w:val="0"/>
      <w:marTop w:val="0"/>
      <w:marBottom w:val="0"/>
      <w:divBdr>
        <w:top w:val="none" w:sz="0" w:space="0" w:color="auto"/>
        <w:left w:val="none" w:sz="0" w:space="0" w:color="auto"/>
        <w:bottom w:val="none" w:sz="0" w:space="0" w:color="auto"/>
        <w:right w:val="none" w:sz="0" w:space="0" w:color="auto"/>
      </w:divBdr>
    </w:div>
    <w:div w:id="1931740777">
      <w:bodyDiv w:val="1"/>
      <w:marLeft w:val="0"/>
      <w:marRight w:val="0"/>
      <w:marTop w:val="0"/>
      <w:marBottom w:val="0"/>
      <w:divBdr>
        <w:top w:val="none" w:sz="0" w:space="0" w:color="auto"/>
        <w:left w:val="none" w:sz="0" w:space="0" w:color="auto"/>
        <w:bottom w:val="none" w:sz="0" w:space="0" w:color="auto"/>
        <w:right w:val="none" w:sz="0" w:space="0" w:color="auto"/>
      </w:divBdr>
    </w:div>
    <w:div w:id="1977298221">
      <w:bodyDiv w:val="1"/>
      <w:marLeft w:val="0"/>
      <w:marRight w:val="0"/>
      <w:marTop w:val="0"/>
      <w:marBottom w:val="0"/>
      <w:divBdr>
        <w:top w:val="none" w:sz="0" w:space="0" w:color="auto"/>
        <w:left w:val="none" w:sz="0" w:space="0" w:color="auto"/>
        <w:bottom w:val="none" w:sz="0" w:space="0" w:color="auto"/>
        <w:right w:val="none" w:sz="0" w:space="0" w:color="auto"/>
      </w:divBdr>
    </w:div>
    <w:div w:id="2006203385">
      <w:bodyDiv w:val="1"/>
      <w:marLeft w:val="0"/>
      <w:marRight w:val="0"/>
      <w:marTop w:val="0"/>
      <w:marBottom w:val="0"/>
      <w:divBdr>
        <w:top w:val="none" w:sz="0" w:space="0" w:color="auto"/>
        <w:left w:val="none" w:sz="0" w:space="0" w:color="auto"/>
        <w:bottom w:val="none" w:sz="0" w:space="0" w:color="auto"/>
        <w:right w:val="none" w:sz="0" w:space="0" w:color="auto"/>
      </w:divBdr>
    </w:div>
    <w:div w:id="2014336932">
      <w:bodyDiv w:val="1"/>
      <w:marLeft w:val="0"/>
      <w:marRight w:val="0"/>
      <w:marTop w:val="0"/>
      <w:marBottom w:val="0"/>
      <w:divBdr>
        <w:top w:val="none" w:sz="0" w:space="0" w:color="auto"/>
        <w:left w:val="none" w:sz="0" w:space="0" w:color="auto"/>
        <w:bottom w:val="none" w:sz="0" w:space="0" w:color="auto"/>
        <w:right w:val="none" w:sz="0" w:space="0" w:color="auto"/>
      </w:divBdr>
    </w:div>
    <w:div w:id="2071423197">
      <w:bodyDiv w:val="1"/>
      <w:marLeft w:val="0"/>
      <w:marRight w:val="0"/>
      <w:marTop w:val="0"/>
      <w:marBottom w:val="0"/>
      <w:divBdr>
        <w:top w:val="none" w:sz="0" w:space="0" w:color="auto"/>
        <w:left w:val="none" w:sz="0" w:space="0" w:color="auto"/>
        <w:bottom w:val="none" w:sz="0" w:space="0" w:color="auto"/>
        <w:right w:val="none" w:sz="0" w:space="0" w:color="auto"/>
      </w:divBdr>
    </w:div>
    <w:div w:id="2071878914">
      <w:bodyDiv w:val="1"/>
      <w:marLeft w:val="0"/>
      <w:marRight w:val="0"/>
      <w:marTop w:val="0"/>
      <w:marBottom w:val="0"/>
      <w:divBdr>
        <w:top w:val="none" w:sz="0" w:space="0" w:color="auto"/>
        <w:left w:val="none" w:sz="0" w:space="0" w:color="auto"/>
        <w:bottom w:val="none" w:sz="0" w:space="0" w:color="auto"/>
        <w:right w:val="none" w:sz="0" w:space="0" w:color="auto"/>
      </w:divBdr>
    </w:div>
    <w:div w:id="2084914183">
      <w:bodyDiv w:val="1"/>
      <w:marLeft w:val="0"/>
      <w:marRight w:val="0"/>
      <w:marTop w:val="0"/>
      <w:marBottom w:val="0"/>
      <w:divBdr>
        <w:top w:val="none" w:sz="0" w:space="0" w:color="auto"/>
        <w:left w:val="none" w:sz="0" w:space="0" w:color="auto"/>
        <w:bottom w:val="none" w:sz="0" w:space="0" w:color="auto"/>
        <w:right w:val="none" w:sz="0" w:space="0" w:color="auto"/>
      </w:divBdr>
    </w:div>
    <w:div w:id="20940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30A7-8CC9-49BD-BE08-3E22EEFE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3015</Words>
  <Characters>16286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3</cp:revision>
  <cp:lastPrinted>2014-10-14T12:46:00Z</cp:lastPrinted>
  <dcterms:created xsi:type="dcterms:W3CDTF">2017-08-24T12:04:00Z</dcterms:created>
  <dcterms:modified xsi:type="dcterms:W3CDTF">2017-08-24T12:13:00Z</dcterms:modified>
</cp:coreProperties>
</file>