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FE" w:rsidRPr="00A90467" w:rsidRDefault="00EC5AFE" w:rsidP="00A9046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b/>
          <w:bCs/>
          <w:color w:val="000000"/>
          <w:sz w:val="22"/>
          <w:szCs w:val="22"/>
          <w:lang w:eastAsia="en-US"/>
        </w:rPr>
        <w:t>GABINETE DO MINISTRO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  <w:r w:rsidRPr="00784A1D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P</w:t>
      </w:r>
      <w:r w:rsidR="00784A1D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ortaria </w:t>
      </w:r>
      <w:r w:rsidRPr="00784A1D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Nº 2.500, </w:t>
      </w:r>
      <w:r w:rsidR="00784A1D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de</w:t>
      </w:r>
      <w:r w:rsidRPr="00784A1D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 28</w:t>
      </w:r>
      <w:r w:rsidR="00784A1D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/09/2</w:t>
      </w:r>
      <w:r w:rsidRPr="00784A1D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017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2E2C2D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2E2C2D"/>
          <w:sz w:val="22"/>
          <w:szCs w:val="22"/>
          <w:lang w:eastAsia="en-US"/>
        </w:rPr>
        <w:t>Dispõe sobre a elaboração, a proposição, a</w:t>
      </w:r>
      <w:r w:rsidR="00784A1D">
        <w:rPr>
          <w:rFonts w:asciiTheme="minorHAnsi" w:hAnsiTheme="minorHAnsi"/>
          <w:color w:val="2E2C2D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2E2C2D"/>
          <w:sz w:val="22"/>
          <w:szCs w:val="22"/>
          <w:lang w:eastAsia="en-US"/>
        </w:rPr>
        <w:t>tramitação e a consolidação de atos normativos</w:t>
      </w: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2E2C2D"/>
          <w:sz w:val="22"/>
          <w:szCs w:val="22"/>
          <w:lang w:eastAsia="en-US"/>
        </w:rPr>
      </w:pPr>
      <w:proofErr w:type="gramStart"/>
      <w:r w:rsidRPr="00784A1D">
        <w:rPr>
          <w:rFonts w:asciiTheme="minorHAnsi" w:hAnsiTheme="minorHAnsi"/>
          <w:color w:val="2E2C2D"/>
          <w:sz w:val="22"/>
          <w:szCs w:val="22"/>
          <w:lang w:eastAsia="en-US"/>
        </w:rPr>
        <w:t>no</w:t>
      </w:r>
      <w:proofErr w:type="gramEnd"/>
      <w:r w:rsidRPr="00784A1D">
        <w:rPr>
          <w:rFonts w:asciiTheme="minorHAnsi" w:hAnsiTheme="minorHAnsi"/>
          <w:color w:val="2E2C2D"/>
          <w:sz w:val="22"/>
          <w:szCs w:val="22"/>
          <w:lang w:eastAsia="en-US"/>
        </w:rPr>
        <w:t xml:space="preserve"> âmbito do Ministério da Saúde.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2E2C2D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O MINISTRO DE ESTADO DA SAÚDE, no uso das atribuições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que lhe conferem </w:t>
      </w:r>
      <w:proofErr w:type="gram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os incisos I e II do parágrafo único do art.</w:t>
      </w:r>
      <w:proofErr w:type="gramEnd"/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87 da Constituição, 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Considerando o disposto nos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arts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. </w:t>
      </w:r>
      <w:proofErr w:type="gram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13, 16 e 17</w:t>
      </w:r>
      <w:proofErr w:type="gram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da Lei Complementar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nº 95, de 26 de fevereiro de 1998, que dispõe sobre 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elaboração, a redação, a alteração e a consolidação das leis, conforme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determina o parágrafo único do art. 59 da Constituição Federal, 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estabelece normas para a consolidação dos atos normativos que menciona;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Considerando o disposto nos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arts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. </w:t>
      </w:r>
      <w:proofErr w:type="gram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26 a 30 do Decreto nº</w:t>
      </w:r>
      <w:proofErr w:type="gramEnd"/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4.176, de 28 de março de 2002, que estabelece normas e diretrizes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para a elaboração, a redação, a alteração, a consolidação e o encaminhamento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ao Presidente da República de projetos de atos normativos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de competência dos órgãos do Poder Executivo Federal; e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Considerando a necessidade de organizar a legislação referente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às normas do Sistema Único de Saúde - SUS, como forma,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inclusive, de melhorar a formulação e a revisão de políticas públicas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voltadas para a saúde, resolve: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CAPÍTULO I</w:t>
      </w: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DAS DISPOSIÇÕES PRELIMINARES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1º Esta Portaria dispõe sobre a elaboração, a proposição,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 tramitação e a consolidação de atos normativos no âmbito do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Ministério da Saúde.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2º Para os fins desta Portaria</w:t>
      </w:r>
      <w:proofErr w:type="gram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, consideram-se</w:t>
      </w:r>
      <w:proofErr w:type="gram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: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I - atos normativos - emendas à Constituição, leis, medidas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provisórias, tratados ou acordos internacionais, decretos, portarias 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resoluções;</w:t>
      </w: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II - atos normativos de efeito concreto - aqueles que disciplinem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situações concretas e sejam desprovidos de generalidade 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abstração;</w:t>
      </w: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III - atos normativos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stricto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sensu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- aqueles que sejam dotados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de generalidade, abstração e impessoalidade;</w:t>
      </w: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IV - portarias de efeito concreto - atos normativos de efeito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concreto editados no âmbito do Ministério da Saúde que disciplinem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situações concretas e sejam </w:t>
      </w:r>
      <w:proofErr w:type="gram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desprovidos de generalidade e abstração</w:t>
      </w:r>
      <w:proofErr w:type="gram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,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como as portarias pessoais, as de provimento ou vacância de cargo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público, as de delegação ou avocação de competência e as de criação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de grupo de trabalho;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V - portarias normativas - atos normativos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stricto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sensu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editados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no âmbito do Ministério da Saúde, que possuam normas gerais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e abstratas, como as que disponham sobre políticas, programas ou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instruções para a execução de leis e decretos; e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VI - portarias de consolidação - as portarias normativas que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resultem da integração das portarias normativas em vigor pertinentes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à determinada matéria, com a revogação formal das normas incorporadas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à consolidação e sem modificação do alcance nem interrupção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da força normativa dos dispositivos consolidados.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CAPÍTULO II</w:t>
      </w: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DA NUMERAÇÃO DAS PORTARIAS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3º As portarias publicadas pelo Ministério da Saúde,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sejam as de efeito concreto ou as normativas, manterão a numeração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sequencial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atualmente em curso, com exceção das portarias de consolidação.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4º As portarias de consolidação publicadas pelo Ministério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da Saúde terão numeração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sequencial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própria.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CAPÍTULO III</w:t>
      </w: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DAS PORTARIAS DE CONSOLIDAÇÃO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5º As portarias de consolidação poderão ser editadas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pelo Ministro de Estado da Saúde ou pelas demais autoridades desse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Ministério, no âmbito de suas competências.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6º As portarias normativas a serem elaboradas após 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edição das portarias de consolidação devem, sempre que houver pertinência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temática, alterar diretamente o texto das portarias de consolidação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pertinentes, de modo a manter a lógica da consolidação e 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evitar a edição de portarias esparsas sobre o mesmo tema.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Art. 7º As portarias de consolidação editadas pelo </w:t>
      </w:r>
      <w:proofErr w:type="gram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Ministro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de Estado da Saúde relativas às normas do Sistema Único de Saúde</w:t>
      </w:r>
      <w:proofErr w:type="gramEnd"/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- SUS serão agrupadas de acordo com os seguintes eixos:</w:t>
      </w: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I - direitos e deveres dos usuários da saúde, organização 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funcionamento do SUS;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II - políticas nacionais de saúde do SUS;</w:t>
      </w: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III - redes do SUS;</w:t>
      </w: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IV - sistemas e subsistemas do SUS;</w:t>
      </w: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V - ações e serviços de saúde do SUS; e</w:t>
      </w: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VI - financiamento e transferência de recursos federais para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ações e serviços de saúde do SUS.</w:t>
      </w:r>
    </w:p>
    <w:p w:rsid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CAPÍTULO IV</w:t>
      </w: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DAS COMPETÊNCIAS PARA PROPOR E EXAMINAR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PROPOSTAS DE ATOS NORMATIVOS</w:t>
      </w:r>
    </w:p>
    <w:p w:rsid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8º Competem aos órgãos do Ministério da Saúde 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proposição de atos normativos, observadas suas respectivas áreas de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competência.</w:t>
      </w:r>
    </w:p>
    <w:p w:rsid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9º Compete à Consultoria Jurídica junto ao Ministério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da Saúde, órgão setorial da Advocacia-Geral da União, nos termos do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2º, inciso II, alínea "b", da Lei Complementar nº 73, de 10 de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fevereiro de 1993, </w:t>
      </w:r>
      <w:proofErr w:type="gram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emitir</w:t>
      </w:r>
      <w:proofErr w:type="gram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parecer conclusivo sobre a constitucionalidade,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 legalidade e a compatibilidade com o ordenamento jurídico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das propostas de atos normativos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stricto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sensu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, além de proceder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à revisão da técnica legislativa.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10. Compete ao Gabinete do Ministro providenciar 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publicação oficial das matérias relacionadas com a área de atuação do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Ministério da Saúde, por intermédio da Divisão de Atos e Publicações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Oficiais (DAPO), que integra a estrutura da Coordenação-Geral do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Gabinete.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Parágrafo único. À Divisão de Atos e Publicações Oficiais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compete supervisionar, controlar e executar as atividades relacionadas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à publicação dos atos oficiais do Gabinete do Ministro na Imprensa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Nacional e Boletim de Serviço Eletrônico - BSE do Ministério da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Saúde, podendo realizar ajustes finais de técnica legislativa nos atos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que lhe forem encaminhados.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CAPÍTULO V</w:t>
      </w: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DA TRAMITAÇÃO DAS PROPOSTAS DE ATOS NORMATIVOS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11. As propostas de atos normativos devem ser encaminhadas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ao Gabinete do Ministro pelos titulares máximos dos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órgãos do Ministério da Saúde e de suas entidades vinculadas, com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vistas à assinatura, à publicação oficial ou ao encaminhamento à Casa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Civil, nos termos do art. 37 do Decreto nº 4.176, de 28 de março de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2002.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§ 1º Nos casos de proposta de ato normativo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stricto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sensu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, é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imprescindível a prévia análise da Consultoria Jurídica junto ao Ministério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da Saúde, nos termos do art. 9º, antes de o ato ser encaminhado</w:t>
      </w:r>
      <w:proofErr w:type="gramStart"/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 </w:t>
      </w:r>
      <w:proofErr w:type="gram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ao Gabinete do Ministro.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§ 2º Na hipótese de a proposta de ato normativo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stricto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sensu</w:t>
      </w:r>
      <w:proofErr w:type="spellEnd"/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ter sido encaminhada ao Gabinete do Ministro sem a observância do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disposto no § 1º, a Divisão de Atos e Publicações Oficiais, ao verificar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 ausência de manifestação conclusiva da Consultoria Jurídica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junto ao Ministério da Saúde, encaminhará o processo a essa Consultoria.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§ 3º Na hipótese de ter sido encaminhada ao Gabinete do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Ministro proposta de ato normativo que não atenda aos requisitos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formais necessários, a Divisão de Atos e Publicações Oficiais devolverá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motivadamente o processo ao órgão proponente, para que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realize as adequações pertinentes.</w:t>
      </w:r>
    </w:p>
    <w:p w:rsid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12. O encaminhamento de propostas de atos normativos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pelos órgãos proponentes será realizado por meio de processo administrativo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eletrônico, nos termos da Portaria nº 900, de 31 de março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de 2017, ao qual se anexarão:</w:t>
      </w: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I - as notas técnicas e justificativas da proposição; e</w:t>
      </w: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II - o projeto do ato normativo.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§ 1º O projeto do ato normativo será anexado, sempre que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possível, em formato com conteúdo pesquisável.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§ 2º Nas propostas de atos normativos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stricto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sensu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que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pretendam alterar ou revogar norma em vigor, o órgão proponente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também deverá anexar quadro comparativo que demonstre as alterações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entre o texto vigente e o texto proposto.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13. Antes do encaminhamento de propostas de atos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normativos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stricto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sensu</w:t>
      </w:r>
      <w:proofErr w:type="spell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à Consultoria Jurídica pelos titulares máximos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dos órgãos do Ministério da Saúde e de suas entidades vinculadas,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nos termos do § 1º do art. 11, os órgãos proponentes deverão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avaliar a conformidade das propostas com o disposto nesta Portaria,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especialmente quanto à observância do art. 6º.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Parágrafo único. A Consultoria Jurídica, após emissão da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manifestação jurídica, restituirá o processo ao órgão proponente, para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adoção das providências necessárias à edição e publicação do ato,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consoante disposto no caput do art. 11.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Pr="00784A1D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proofErr w:type="gram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CAPÍTULO VI</w:t>
      </w:r>
      <w:proofErr w:type="gramEnd"/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DAS DISPOSIÇÕES FINAIS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14. As orientações técnicas para elaboração, redação e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alteração de atos normativos no âmbito do Ministério da Saúde serão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detalhadas em manual específico.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15. As portarias de consolidação a que se refere o art.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7º, bem como a portaria que revogará os atos normativos que foram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consolidados, serão publicadas em suplemento </w:t>
      </w:r>
      <w:proofErr w:type="gramStart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à</w:t>
      </w:r>
      <w:proofErr w:type="gramEnd"/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presente edição.</w:t>
      </w:r>
      <w:r w:rsidR="00784A1D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7064C2" w:rsidRDefault="007064C2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784A1D">
        <w:rPr>
          <w:rFonts w:asciiTheme="minorHAnsi" w:hAnsiTheme="minorHAnsi"/>
          <w:color w:val="000000"/>
          <w:sz w:val="22"/>
          <w:szCs w:val="22"/>
          <w:lang w:eastAsia="en-US"/>
        </w:rPr>
        <w:t>Art. 16. Esta Portaria entra em vigor na data de sua publicação.</w:t>
      </w:r>
    </w:p>
    <w:p w:rsidR="00784A1D" w:rsidRPr="00784A1D" w:rsidRDefault="00784A1D" w:rsidP="00784A1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A90467" w:rsidRPr="00784A1D" w:rsidRDefault="007064C2" w:rsidP="00784A1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84A1D">
        <w:rPr>
          <w:rFonts w:asciiTheme="minorHAnsi" w:hAnsiTheme="minorHAnsi"/>
          <w:color w:val="343334"/>
          <w:sz w:val="22"/>
          <w:szCs w:val="22"/>
          <w:lang w:eastAsia="en-US"/>
        </w:rPr>
        <w:t>RICARDO BARROS</w:t>
      </w:r>
    </w:p>
    <w:p w:rsidR="00784A1D" w:rsidRPr="00784A1D" w:rsidRDefault="00784A1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784A1D" w:rsidRPr="00784A1D" w:rsidSect="00A56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67" w:rsidRDefault="00A90467" w:rsidP="00AE52E7">
      <w:r>
        <w:separator/>
      </w:r>
    </w:p>
  </w:endnote>
  <w:endnote w:type="continuationSeparator" w:id="1">
    <w:p w:rsidR="00A90467" w:rsidRDefault="00A90467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67" w:rsidRDefault="00A90467">
    <w:pPr>
      <w:pStyle w:val="Rodap"/>
    </w:pPr>
    <w:r>
      <w:rPr>
        <w:noProof/>
        <w:lang w:eastAsia="pt-BR"/>
      </w:rPr>
      <w:drawing>
        <wp:inline distT="0" distB="0" distL="0" distR="0">
          <wp:extent cx="5400040" cy="40068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-rodap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467" w:rsidRPr="00AE52E7" w:rsidRDefault="00A9046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Tel.(11)3897-9779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90467" w:rsidRPr="00AE52E7" w:rsidRDefault="00A9046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br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São Paulo/SP - CEP 04550-004</w:t>
    </w:r>
  </w:p>
  <w:p w:rsidR="00A90467" w:rsidRDefault="00A90467">
    <w:pPr>
      <w:pStyle w:val="Rodap"/>
    </w:pPr>
  </w:p>
  <w:p w:rsidR="00A90467" w:rsidRDefault="00A904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67" w:rsidRDefault="00A90467" w:rsidP="00AE52E7">
      <w:r>
        <w:separator/>
      </w:r>
    </w:p>
  </w:footnote>
  <w:footnote w:type="continuationSeparator" w:id="1">
    <w:p w:rsidR="00A90467" w:rsidRDefault="00A90467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67" w:rsidRDefault="00A90467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467" w:rsidRPr="00AE52E7" w:rsidRDefault="00A90467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14</w:t>
    </w:r>
    <w:r w:rsidR="007064C2">
      <w:rPr>
        <w:rStyle w:val="Forte"/>
        <w:rFonts w:ascii="Calibri" w:hAnsi="Calibri"/>
        <w:color w:val="000000"/>
        <w:sz w:val="16"/>
        <w:szCs w:val="16"/>
      </w:rPr>
      <w:t>2.2017 | São Paulo, 03</w:t>
    </w:r>
    <w:r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7064C2">
      <w:rPr>
        <w:rStyle w:val="Forte"/>
        <w:rFonts w:ascii="Calibri" w:hAnsi="Calibri"/>
        <w:color w:val="000000"/>
        <w:sz w:val="16"/>
        <w:szCs w:val="16"/>
      </w:rPr>
      <w:t>outu</w:t>
    </w:r>
    <w:r>
      <w:rPr>
        <w:rStyle w:val="Forte"/>
        <w:rFonts w:ascii="Calibri" w:hAnsi="Calibri"/>
        <w:color w:val="000000"/>
        <w:sz w:val="16"/>
        <w:szCs w:val="16"/>
      </w:rPr>
      <w:t>bro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65"/>
    <w:multiLevelType w:val="multilevel"/>
    <w:tmpl w:val="4656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D4AA2"/>
    <w:multiLevelType w:val="multilevel"/>
    <w:tmpl w:val="DE46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73F74"/>
    <w:multiLevelType w:val="multilevel"/>
    <w:tmpl w:val="0028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B81458"/>
    <w:multiLevelType w:val="multilevel"/>
    <w:tmpl w:val="58A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E3E86"/>
    <w:multiLevelType w:val="multilevel"/>
    <w:tmpl w:val="C75C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B2E00"/>
    <w:multiLevelType w:val="multilevel"/>
    <w:tmpl w:val="CB66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667CD"/>
    <w:multiLevelType w:val="multilevel"/>
    <w:tmpl w:val="DB0A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93F6B"/>
    <w:multiLevelType w:val="multilevel"/>
    <w:tmpl w:val="6ACE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E5864"/>
    <w:multiLevelType w:val="multilevel"/>
    <w:tmpl w:val="8B78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B24A5"/>
    <w:multiLevelType w:val="multilevel"/>
    <w:tmpl w:val="0212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46FF0"/>
    <w:multiLevelType w:val="multilevel"/>
    <w:tmpl w:val="0E0A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83373"/>
    <w:multiLevelType w:val="multilevel"/>
    <w:tmpl w:val="E31C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C6716"/>
    <w:multiLevelType w:val="multilevel"/>
    <w:tmpl w:val="EBEC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D0937"/>
    <w:multiLevelType w:val="multilevel"/>
    <w:tmpl w:val="48A4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A7687"/>
    <w:multiLevelType w:val="multilevel"/>
    <w:tmpl w:val="BAA8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17312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4EE9"/>
    <w:rsid w:val="000F7715"/>
    <w:rsid w:val="000F7CC8"/>
    <w:rsid w:val="00110B21"/>
    <w:rsid w:val="00136263"/>
    <w:rsid w:val="00136A83"/>
    <w:rsid w:val="0014105E"/>
    <w:rsid w:val="00146BB2"/>
    <w:rsid w:val="001718CE"/>
    <w:rsid w:val="0017768C"/>
    <w:rsid w:val="001778A6"/>
    <w:rsid w:val="00183C28"/>
    <w:rsid w:val="00185E2F"/>
    <w:rsid w:val="001A153E"/>
    <w:rsid w:val="001B4EFA"/>
    <w:rsid w:val="001C1024"/>
    <w:rsid w:val="001E7782"/>
    <w:rsid w:val="001F1556"/>
    <w:rsid w:val="001F6DB6"/>
    <w:rsid w:val="0021365C"/>
    <w:rsid w:val="00215D2B"/>
    <w:rsid w:val="002274C0"/>
    <w:rsid w:val="002337BB"/>
    <w:rsid w:val="00235209"/>
    <w:rsid w:val="00236EAF"/>
    <w:rsid w:val="002772CE"/>
    <w:rsid w:val="0028793A"/>
    <w:rsid w:val="002A5B57"/>
    <w:rsid w:val="002F1B7E"/>
    <w:rsid w:val="002F5FD9"/>
    <w:rsid w:val="00301680"/>
    <w:rsid w:val="003355EF"/>
    <w:rsid w:val="00340698"/>
    <w:rsid w:val="00346774"/>
    <w:rsid w:val="00353BC1"/>
    <w:rsid w:val="0036549B"/>
    <w:rsid w:val="003708AD"/>
    <w:rsid w:val="00391D18"/>
    <w:rsid w:val="003A0684"/>
    <w:rsid w:val="003A0F5B"/>
    <w:rsid w:val="003A3060"/>
    <w:rsid w:val="003A7803"/>
    <w:rsid w:val="003C4071"/>
    <w:rsid w:val="003D7A6C"/>
    <w:rsid w:val="003E1BC5"/>
    <w:rsid w:val="003E416B"/>
    <w:rsid w:val="003E54C2"/>
    <w:rsid w:val="003F1499"/>
    <w:rsid w:val="003F6AB4"/>
    <w:rsid w:val="0040409D"/>
    <w:rsid w:val="00417144"/>
    <w:rsid w:val="00422374"/>
    <w:rsid w:val="00427E66"/>
    <w:rsid w:val="00432E6C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D6C76"/>
    <w:rsid w:val="004E39FD"/>
    <w:rsid w:val="004F0812"/>
    <w:rsid w:val="0051020D"/>
    <w:rsid w:val="00521C58"/>
    <w:rsid w:val="00523B84"/>
    <w:rsid w:val="00525B88"/>
    <w:rsid w:val="00536251"/>
    <w:rsid w:val="00543C13"/>
    <w:rsid w:val="00544CA0"/>
    <w:rsid w:val="00566F49"/>
    <w:rsid w:val="005878AE"/>
    <w:rsid w:val="005962B2"/>
    <w:rsid w:val="005A156B"/>
    <w:rsid w:val="005A5D86"/>
    <w:rsid w:val="005B18AA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80AA8"/>
    <w:rsid w:val="00685C3A"/>
    <w:rsid w:val="006A6499"/>
    <w:rsid w:val="006A7046"/>
    <w:rsid w:val="006B5A70"/>
    <w:rsid w:val="006C541D"/>
    <w:rsid w:val="006C63EB"/>
    <w:rsid w:val="006D15B0"/>
    <w:rsid w:val="006D4F77"/>
    <w:rsid w:val="006D716B"/>
    <w:rsid w:val="006E07B8"/>
    <w:rsid w:val="006E53FB"/>
    <w:rsid w:val="006F4BEA"/>
    <w:rsid w:val="006F53CF"/>
    <w:rsid w:val="006F790E"/>
    <w:rsid w:val="00704E17"/>
    <w:rsid w:val="007064C2"/>
    <w:rsid w:val="00717704"/>
    <w:rsid w:val="00730F5D"/>
    <w:rsid w:val="007414CC"/>
    <w:rsid w:val="00774EF5"/>
    <w:rsid w:val="007775AC"/>
    <w:rsid w:val="00777F35"/>
    <w:rsid w:val="00781AD4"/>
    <w:rsid w:val="00784A1D"/>
    <w:rsid w:val="00791C8E"/>
    <w:rsid w:val="00792FEA"/>
    <w:rsid w:val="00797D6B"/>
    <w:rsid w:val="007A253B"/>
    <w:rsid w:val="007A32DC"/>
    <w:rsid w:val="007A50C3"/>
    <w:rsid w:val="007B3E73"/>
    <w:rsid w:val="007B41D1"/>
    <w:rsid w:val="007B511A"/>
    <w:rsid w:val="007B7A34"/>
    <w:rsid w:val="007B7E33"/>
    <w:rsid w:val="007C1841"/>
    <w:rsid w:val="007C29C1"/>
    <w:rsid w:val="007D40CD"/>
    <w:rsid w:val="007E43D1"/>
    <w:rsid w:val="007F4090"/>
    <w:rsid w:val="00801111"/>
    <w:rsid w:val="00823F84"/>
    <w:rsid w:val="0084276D"/>
    <w:rsid w:val="00850656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B6BC8"/>
    <w:rsid w:val="008C3AEA"/>
    <w:rsid w:val="008C40F8"/>
    <w:rsid w:val="008C440C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55D63"/>
    <w:rsid w:val="00961D02"/>
    <w:rsid w:val="00973191"/>
    <w:rsid w:val="00974838"/>
    <w:rsid w:val="0098286A"/>
    <w:rsid w:val="0099304C"/>
    <w:rsid w:val="00995024"/>
    <w:rsid w:val="0099601F"/>
    <w:rsid w:val="009C61A7"/>
    <w:rsid w:val="009D0356"/>
    <w:rsid w:val="009D0FA1"/>
    <w:rsid w:val="009F6FB0"/>
    <w:rsid w:val="00A12661"/>
    <w:rsid w:val="00A1285F"/>
    <w:rsid w:val="00A371DD"/>
    <w:rsid w:val="00A4029B"/>
    <w:rsid w:val="00A4405D"/>
    <w:rsid w:val="00A50BC4"/>
    <w:rsid w:val="00A56AA2"/>
    <w:rsid w:val="00A64462"/>
    <w:rsid w:val="00A65789"/>
    <w:rsid w:val="00A65CCA"/>
    <w:rsid w:val="00A90467"/>
    <w:rsid w:val="00A90CDA"/>
    <w:rsid w:val="00A95942"/>
    <w:rsid w:val="00AB5FA5"/>
    <w:rsid w:val="00AC28B3"/>
    <w:rsid w:val="00AC3932"/>
    <w:rsid w:val="00AC79CB"/>
    <w:rsid w:val="00AD6772"/>
    <w:rsid w:val="00AE0006"/>
    <w:rsid w:val="00AE1C67"/>
    <w:rsid w:val="00AE52E7"/>
    <w:rsid w:val="00AF15A8"/>
    <w:rsid w:val="00B02148"/>
    <w:rsid w:val="00B02E6A"/>
    <w:rsid w:val="00B0502E"/>
    <w:rsid w:val="00B05AD8"/>
    <w:rsid w:val="00B110AA"/>
    <w:rsid w:val="00B15749"/>
    <w:rsid w:val="00B17867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E4EE4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6879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226BC"/>
    <w:rsid w:val="00D30121"/>
    <w:rsid w:val="00D56F92"/>
    <w:rsid w:val="00D6276F"/>
    <w:rsid w:val="00D75975"/>
    <w:rsid w:val="00D84A1E"/>
    <w:rsid w:val="00DA0B19"/>
    <w:rsid w:val="00DA0C45"/>
    <w:rsid w:val="00DA2E43"/>
    <w:rsid w:val="00DA35D1"/>
    <w:rsid w:val="00DB08C4"/>
    <w:rsid w:val="00DD141B"/>
    <w:rsid w:val="00DE2781"/>
    <w:rsid w:val="00DE57FE"/>
    <w:rsid w:val="00E00D14"/>
    <w:rsid w:val="00E2576B"/>
    <w:rsid w:val="00E2616F"/>
    <w:rsid w:val="00E30E09"/>
    <w:rsid w:val="00E47A26"/>
    <w:rsid w:val="00E5099F"/>
    <w:rsid w:val="00E52C17"/>
    <w:rsid w:val="00E57633"/>
    <w:rsid w:val="00EA5C1F"/>
    <w:rsid w:val="00EB4965"/>
    <w:rsid w:val="00EC5AFE"/>
    <w:rsid w:val="00EC6A5B"/>
    <w:rsid w:val="00ED6073"/>
    <w:rsid w:val="00ED6606"/>
    <w:rsid w:val="00ED74FB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724FC"/>
    <w:rsid w:val="00F910CA"/>
    <w:rsid w:val="00F922C5"/>
    <w:rsid w:val="00F965FD"/>
    <w:rsid w:val="00F97F93"/>
    <w:rsid w:val="00FB0C44"/>
    <w:rsid w:val="00FB5C3A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43C1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  <w:style w:type="character" w:customStyle="1" w:styleId="Ttulo1Char">
    <w:name w:val="Título 1 Char"/>
    <w:basedOn w:val="Fontepargpadro"/>
    <w:link w:val="Ttulo1"/>
    <w:uiPriority w:val="9"/>
    <w:rsid w:val="00543C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543C13"/>
    <w:pPr>
      <w:spacing w:before="100" w:beforeAutospacing="1" w:after="100" w:afterAutospacing="1"/>
    </w:pPr>
  </w:style>
  <w:style w:type="character" w:customStyle="1" w:styleId="chapeu-noticia">
    <w:name w:val="chapeu-noticia"/>
    <w:basedOn w:val="Fontepargpadro"/>
    <w:rsid w:val="00543C13"/>
  </w:style>
  <w:style w:type="character" w:customStyle="1" w:styleId="resumo-noticia">
    <w:name w:val="resumo-noticia"/>
    <w:basedOn w:val="Fontepargpadro"/>
    <w:rsid w:val="00543C13"/>
  </w:style>
  <w:style w:type="character" w:styleId="HiperlinkVisitado">
    <w:name w:val="FollowedHyperlink"/>
    <w:basedOn w:val="Fontepargpadro"/>
    <w:uiPriority w:val="99"/>
    <w:semiHidden/>
    <w:unhideWhenUsed/>
    <w:rsid w:val="00680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6CF6-EC56-4879-B09C-A8BFDFE8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2017-10-03T11:33:00Z</dcterms:created>
  <dcterms:modified xsi:type="dcterms:W3CDTF">2017-10-03T12:49:00Z</dcterms:modified>
</cp:coreProperties>
</file>