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4" w:rsidRDefault="00E00D14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  <w:bookmarkStart w:id="0" w:name="_GoBack"/>
      <w:bookmarkEnd w:id="0"/>
    </w:p>
    <w:p w:rsidR="00BC1C6F" w:rsidRDefault="00BC1C6F" w:rsidP="00BC1C6F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</w:rPr>
      </w:pPr>
      <w:r w:rsidRPr="00347F22">
        <w:rPr>
          <w:rFonts w:asciiTheme="minorHAnsi" w:hAnsiTheme="minorHAnsi"/>
          <w:b/>
          <w:bCs/>
          <w:color w:val="282526"/>
          <w:sz w:val="22"/>
          <w:szCs w:val="22"/>
        </w:rPr>
        <w:t>R</w:t>
      </w:r>
      <w:r>
        <w:rPr>
          <w:rFonts w:asciiTheme="minorHAnsi" w:hAnsiTheme="minorHAnsi"/>
          <w:b/>
          <w:bCs/>
          <w:color w:val="282526"/>
        </w:rPr>
        <w:t>esolução</w:t>
      </w:r>
      <w:r w:rsidRPr="00347F22">
        <w:rPr>
          <w:rFonts w:asciiTheme="minorHAnsi" w:hAnsiTheme="minorHAnsi"/>
          <w:b/>
          <w:bCs/>
          <w:color w:val="282526"/>
          <w:sz w:val="22"/>
          <w:szCs w:val="22"/>
        </w:rPr>
        <w:t xml:space="preserve"> RDC </w:t>
      </w:r>
      <w:r>
        <w:rPr>
          <w:rFonts w:asciiTheme="minorHAnsi" w:hAnsiTheme="minorHAnsi"/>
          <w:b/>
          <w:bCs/>
          <w:color w:val="282526"/>
        </w:rPr>
        <w:t>n</w:t>
      </w:r>
      <w:r w:rsidRPr="00347F22">
        <w:rPr>
          <w:rFonts w:asciiTheme="minorHAnsi" w:hAnsiTheme="minorHAnsi"/>
          <w:b/>
          <w:bCs/>
          <w:color w:val="282526"/>
          <w:sz w:val="22"/>
          <w:szCs w:val="22"/>
        </w:rPr>
        <w:t xml:space="preserve">° 48, </w:t>
      </w:r>
      <w:r>
        <w:rPr>
          <w:rFonts w:asciiTheme="minorHAnsi" w:hAnsiTheme="minorHAnsi"/>
          <w:b/>
          <w:bCs/>
          <w:color w:val="282526"/>
        </w:rPr>
        <w:t xml:space="preserve">de </w:t>
      </w:r>
      <w:proofErr w:type="gramStart"/>
      <w:r>
        <w:rPr>
          <w:rFonts w:asciiTheme="minorHAnsi" w:hAnsiTheme="minorHAnsi"/>
          <w:b/>
          <w:bCs/>
          <w:color w:val="282526"/>
        </w:rPr>
        <w:t>25/09/</w:t>
      </w:r>
      <w:r w:rsidRPr="00347F22">
        <w:rPr>
          <w:rFonts w:asciiTheme="minorHAnsi" w:hAnsiTheme="minorHAnsi"/>
          <w:b/>
          <w:bCs/>
          <w:color w:val="282526"/>
          <w:sz w:val="22"/>
          <w:szCs w:val="22"/>
        </w:rPr>
        <w:t>2014</w:t>
      </w:r>
      <w:proofErr w:type="gramEnd"/>
    </w:p>
    <w:p w:rsidR="00BC1C6F" w:rsidRDefault="00BC1C6F" w:rsidP="00BC1C6F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</w:rPr>
      </w:pPr>
      <w:r>
        <w:rPr>
          <w:rFonts w:asciiTheme="minorHAnsi" w:hAnsiTheme="minorHAnsi"/>
          <w:b/>
          <w:bCs/>
          <w:color w:val="282526"/>
        </w:rPr>
        <w:t>DOU 26/09/2014</w:t>
      </w:r>
    </w:p>
    <w:p w:rsidR="00BC1C6F" w:rsidRPr="00347F22" w:rsidRDefault="00BC1C6F" w:rsidP="00BC1C6F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BC1C6F" w:rsidRDefault="00BC1C6F" w:rsidP="00BC1C6F">
      <w:pPr>
        <w:autoSpaceDE w:val="0"/>
        <w:autoSpaceDN w:val="0"/>
        <w:jc w:val="both"/>
        <w:rPr>
          <w:rFonts w:asciiTheme="minorHAnsi" w:hAnsiTheme="minorHAnsi"/>
          <w:color w:val="2E2C2D"/>
        </w:rPr>
      </w:pPr>
      <w:r w:rsidRPr="00347F22">
        <w:rPr>
          <w:rFonts w:asciiTheme="minorHAnsi" w:hAnsiTheme="minorHAnsi"/>
          <w:color w:val="2E2C2D"/>
          <w:sz w:val="22"/>
          <w:szCs w:val="22"/>
        </w:rPr>
        <w:t>Altera a Resolução da Diretoria Colegiada -</w:t>
      </w:r>
      <w:r>
        <w:rPr>
          <w:rFonts w:asciiTheme="minorHAnsi" w:hAnsiTheme="minorHAnsi"/>
          <w:color w:val="2E2C2D"/>
        </w:rPr>
        <w:t xml:space="preserve"> </w:t>
      </w:r>
      <w:r w:rsidRPr="00347F22">
        <w:rPr>
          <w:rFonts w:asciiTheme="minorHAnsi" w:hAnsiTheme="minorHAnsi"/>
          <w:color w:val="2E2C2D"/>
          <w:sz w:val="22"/>
          <w:szCs w:val="22"/>
        </w:rPr>
        <w:t>RDC nº 45, de 19 de setembro de 2011,</w:t>
      </w:r>
      <w:r>
        <w:rPr>
          <w:rFonts w:asciiTheme="minorHAnsi" w:hAnsiTheme="minorHAnsi"/>
          <w:color w:val="2E2C2D"/>
        </w:rPr>
        <w:t xml:space="preserve"> </w:t>
      </w:r>
      <w:r w:rsidRPr="00347F22">
        <w:rPr>
          <w:rFonts w:asciiTheme="minorHAnsi" w:hAnsiTheme="minorHAnsi"/>
          <w:color w:val="2E2C2D"/>
          <w:sz w:val="22"/>
          <w:szCs w:val="22"/>
        </w:rPr>
        <w:t>que dispõe sobre o regulamento técnico para</w:t>
      </w:r>
      <w:r>
        <w:rPr>
          <w:rFonts w:asciiTheme="minorHAnsi" w:hAnsiTheme="minorHAnsi"/>
          <w:color w:val="2E2C2D"/>
        </w:rPr>
        <w:t xml:space="preserve"> </w:t>
      </w:r>
      <w:r w:rsidRPr="00347F22">
        <w:rPr>
          <w:rFonts w:asciiTheme="minorHAnsi" w:hAnsiTheme="minorHAnsi"/>
          <w:color w:val="2E2C2D"/>
          <w:sz w:val="22"/>
          <w:szCs w:val="22"/>
        </w:rPr>
        <w:t>fórmulas infantis para lactentes destinadas</w:t>
      </w:r>
      <w:r>
        <w:rPr>
          <w:rFonts w:asciiTheme="minorHAnsi" w:hAnsiTheme="minorHAnsi"/>
          <w:color w:val="2E2C2D"/>
        </w:rPr>
        <w:t xml:space="preserve"> </w:t>
      </w:r>
      <w:r w:rsidRPr="00347F22">
        <w:rPr>
          <w:rFonts w:asciiTheme="minorHAnsi" w:hAnsiTheme="minorHAnsi"/>
          <w:color w:val="2E2C2D"/>
          <w:sz w:val="22"/>
          <w:szCs w:val="22"/>
        </w:rPr>
        <w:t>a necessidades dietoterápicas específicas</w:t>
      </w:r>
      <w:r>
        <w:rPr>
          <w:rFonts w:asciiTheme="minorHAnsi" w:hAnsiTheme="minorHAnsi"/>
          <w:color w:val="2E2C2D"/>
        </w:rPr>
        <w:t xml:space="preserve"> </w:t>
      </w:r>
      <w:r w:rsidRPr="00347F22">
        <w:rPr>
          <w:rFonts w:asciiTheme="minorHAnsi" w:hAnsiTheme="minorHAnsi"/>
          <w:color w:val="2E2C2D"/>
          <w:sz w:val="22"/>
          <w:szCs w:val="22"/>
        </w:rPr>
        <w:t>e fórmulas infantis de seguimento para</w:t>
      </w:r>
      <w:r>
        <w:rPr>
          <w:rFonts w:asciiTheme="minorHAnsi" w:hAnsiTheme="minorHAnsi"/>
          <w:color w:val="2E2C2D"/>
        </w:rPr>
        <w:t xml:space="preserve"> </w:t>
      </w:r>
      <w:r w:rsidRPr="00347F22">
        <w:rPr>
          <w:rFonts w:asciiTheme="minorHAnsi" w:hAnsiTheme="minorHAnsi"/>
          <w:color w:val="2E2C2D"/>
          <w:sz w:val="22"/>
          <w:szCs w:val="22"/>
        </w:rPr>
        <w:t>lactentes e crianças de primeira infância</w:t>
      </w:r>
      <w:r>
        <w:rPr>
          <w:rFonts w:asciiTheme="minorHAnsi" w:hAnsiTheme="minorHAnsi"/>
          <w:color w:val="2E2C2D"/>
        </w:rPr>
        <w:t xml:space="preserve"> </w:t>
      </w:r>
      <w:r w:rsidRPr="00347F22">
        <w:rPr>
          <w:rFonts w:asciiTheme="minorHAnsi" w:hAnsiTheme="minorHAnsi"/>
          <w:color w:val="2E2C2D"/>
          <w:sz w:val="22"/>
          <w:szCs w:val="22"/>
        </w:rPr>
        <w:t>destinadas a necessidades dietoterápicas específicas.</w:t>
      </w:r>
    </w:p>
    <w:p w:rsidR="00BC1C6F" w:rsidRPr="00347F22" w:rsidRDefault="00BC1C6F" w:rsidP="00BC1C6F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</w:p>
    <w:p w:rsidR="00BC1C6F" w:rsidRDefault="00BC1C6F" w:rsidP="00BC1C6F">
      <w:pPr>
        <w:autoSpaceDE w:val="0"/>
        <w:autoSpaceDN w:val="0"/>
        <w:jc w:val="both"/>
        <w:rPr>
          <w:rFonts w:asciiTheme="minorHAnsi" w:hAnsiTheme="minorHAnsi"/>
          <w:color w:val="000000"/>
        </w:rPr>
      </w:pPr>
      <w:r w:rsidRPr="00347F22">
        <w:rPr>
          <w:rFonts w:asciiTheme="minorHAnsi" w:hAnsiTheme="minorHAnsi"/>
          <w:color w:val="000000"/>
          <w:sz w:val="22"/>
          <w:szCs w:val="22"/>
        </w:rPr>
        <w:t>A Diretoria Colegiada da Agência Nacional de Vigilância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Sanitária, no uso das atribuições que lhe confere os incisos III e IV,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do art. 15 da Lei n.º 9.782, de 26 de janeiro de 1999, o inciso V, e §§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1° e 3° do art. 5 do Regimento Interno aprovado nos termos do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Anexo I da Portaria nº 650 da ANVISA, de 29 de maio de 2014,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tendo em vista os incisos III, do art. 2º, III e IV, do art. 7º da Lei nº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9.782, de 1999, o Programa de Melhoria do Processo de Regulamentação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da Agência, instituído por meio da Portaria nº 422, de 16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de abril de 2008, e conforme deliberado em reunião realizada em 23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de setembro de 2014, adota a seguinte Resolução da Diretoria Colegiada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e eu, Diretor-Presidente, determino a sua publicação:</w:t>
      </w:r>
    </w:p>
    <w:p w:rsidR="00BC1C6F" w:rsidRPr="00347F22" w:rsidRDefault="00BC1C6F" w:rsidP="00BC1C6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C1C6F" w:rsidRPr="00347F22" w:rsidRDefault="00BC1C6F" w:rsidP="00BC1C6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47F22">
        <w:rPr>
          <w:rFonts w:asciiTheme="minorHAnsi" w:hAnsiTheme="minorHAnsi"/>
          <w:color w:val="000000"/>
          <w:sz w:val="22"/>
          <w:szCs w:val="22"/>
        </w:rPr>
        <w:t>Art. 1º O art. 9º da Resolução - RDC nº 45, de 19 de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setembro de 2011, passa a vigorar com a seguinte redação:</w:t>
      </w:r>
    </w:p>
    <w:p w:rsidR="00BC1C6F" w:rsidRDefault="00BC1C6F" w:rsidP="00BC1C6F">
      <w:pPr>
        <w:autoSpaceDE w:val="0"/>
        <w:autoSpaceDN w:val="0"/>
        <w:jc w:val="both"/>
        <w:rPr>
          <w:rFonts w:asciiTheme="minorHAnsi" w:hAnsiTheme="minorHAnsi"/>
          <w:color w:val="000000"/>
        </w:rPr>
      </w:pPr>
      <w:r w:rsidRPr="00347F22">
        <w:rPr>
          <w:rFonts w:asciiTheme="minorHAnsi" w:hAnsiTheme="minorHAnsi"/>
          <w:color w:val="000000"/>
          <w:sz w:val="22"/>
          <w:szCs w:val="22"/>
        </w:rPr>
        <w:t>"Art. 9º Os produtos abrangidos pelo parágrafo único do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artigo 4º devem ser designados como: "Fórmula infantil para lactentes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 xml:space="preserve">e de seguimento para </w:t>
      </w:r>
      <w:proofErr w:type="gramStart"/>
      <w:r w:rsidRPr="00347F22">
        <w:rPr>
          <w:rFonts w:asciiTheme="minorHAnsi" w:hAnsiTheme="minorHAnsi"/>
          <w:color w:val="000000"/>
          <w:sz w:val="22"/>
          <w:szCs w:val="22"/>
        </w:rPr>
        <w:t>lactentes destinada</w:t>
      </w:r>
      <w:proofErr w:type="gramEnd"/>
      <w:r w:rsidRPr="00347F22">
        <w:rPr>
          <w:rFonts w:asciiTheme="minorHAnsi" w:hAnsiTheme="minorHAnsi"/>
          <w:color w:val="000000"/>
          <w:sz w:val="22"/>
          <w:szCs w:val="22"/>
        </w:rPr>
        <w:t xml:space="preserve"> a necessidades dietoterápicas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específicas" ou "Fórmula infantil para lactentes e de seguimento para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lactentes e/ou crianças de primeira infância destinada a necessidades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dietoterápicas específicas", conforme o caso, seguida da informação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sobre as características nutricionais específicas do produto." (NR)</w:t>
      </w:r>
      <w:r>
        <w:rPr>
          <w:rFonts w:asciiTheme="minorHAnsi" w:hAnsiTheme="minorHAnsi"/>
          <w:color w:val="000000"/>
        </w:rPr>
        <w:t xml:space="preserve"> </w:t>
      </w:r>
    </w:p>
    <w:p w:rsidR="00BC1C6F" w:rsidRPr="00347F22" w:rsidRDefault="00BC1C6F" w:rsidP="00BC1C6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C1C6F" w:rsidRPr="00347F22" w:rsidRDefault="00BC1C6F" w:rsidP="00BC1C6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47F22">
        <w:rPr>
          <w:rFonts w:asciiTheme="minorHAnsi" w:hAnsiTheme="minorHAnsi"/>
          <w:color w:val="000000"/>
          <w:sz w:val="22"/>
          <w:szCs w:val="22"/>
        </w:rPr>
        <w:t>Art. 2º O §4º do art. 33 da Resolução - RDC nº 45, de 2011,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passa a vigorar com a seguinte redação:</w:t>
      </w:r>
    </w:p>
    <w:p w:rsidR="00BC1C6F" w:rsidRPr="00347F22" w:rsidRDefault="00BC1C6F" w:rsidP="00BC1C6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47F22">
        <w:rPr>
          <w:rFonts w:asciiTheme="minorHAnsi" w:hAnsiTheme="minorHAnsi"/>
          <w:color w:val="000000"/>
          <w:sz w:val="22"/>
          <w:szCs w:val="22"/>
        </w:rPr>
        <w:t>"Art.</w:t>
      </w:r>
      <w:r>
        <w:rPr>
          <w:rFonts w:asciiTheme="minorHAnsi" w:hAnsiTheme="minorHAnsi"/>
          <w:color w:val="000000"/>
        </w:rPr>
        <w:t>33</w:t>
      </w:r>
      <w:proofErr w:type="gramStart"/>
      <w:r w:rsidRPr="00347F22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  <w:proofErr w:type="gramEnd"/>
    </w:p>
    <w:p w:rsidR="00BC1C6F" w:rsidRPr="00347F22" w:rsidRDefault="00BC1C6F" w:rsidP="00BC1C6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47F22">
        <w:rPr>
          <w:rFonts w:asciiTheme="minorHAnsi" w:hAnsiTheme="minorHAnsi"/>
          <w:color w:val="000000"/>
          <w:sz w:val="22"/>
          <w:szCs w:val="22"/>
        </w:rPr>
        <w:t xml:space="preserve">§4º Quando forem adicionados os nutrientes </w:t>
      </w:r>
      <w:proofErr w:type="spellStart"/>
      <w:r w:rsidRPr="00347F22">
        <w:rPr>
          <w:rFonts w:asciiTheme="minorHAnsi" w:hAnsiTheme="minorHAnsi"/>
          <w:color w:val="000000"/>
          <w:sz w:val="22"/>
          <w:szCs w:val="22"/>
        </w:rPr>
        <w:t>ácidodocosahexaenóico</w:t>
      </w:r>
      <w:proofErr w:type="spellEnd"/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 xml:space="preserve">(DHA), ácido araquidônico (ARA), taurina, nucleotídeos, </w:t>
      </w:r>
      <w:proofErr w:type="spellStart"/>
      <w:r w:rsidRPr="00347F22">
        <w:rPr>
          <w:rFonts w:asciiTheme="minorHAnsi" w:hAnsiTheme="minorHAnsi"/>
          <w:color w:val="000000"/>
          <w:sz w:val="22"/>
          <w:szCs w:val="22"/>
        </w:rPr>
        <w:t>lcarnitina</w:t>
      </w:r>
      <w:proofErr w:type="spellEnd"/>
      <w:r w:rsidRPr="00347F22">
        <w:rPr>
          <w:rFonts w:asciiTheme="minorHAnsi" w:hAnsiTheme="minorHAnsi"/>
          <w:color w:val="000000"/>
          <w:sz w:val="22"/>
          <w:szCs w:val="22"/>
        </w:rPr>
        <w:t>,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 w:rsidRPr="00347F22">
        <w:rPr>
          <w:rFonts w:asciiTheme="minorHAnsi" w:hAnsiTheme="minorHAnsi"/>
          <w:color w:val="000000"/>
          <w:sz w:val="22"/>
          <w:szCs w:val="22"/>
        </w:rPr>
        <w:t>frutooligossacarídeos</w:t>
      </w:r>
      <w:proofErr w:type="spellEnd"/>
      <w:r w:rsidRPr="00347F22">
        <w:rPr>
          <w:rFonts w:asciiTheme="minorHAnsi" w:hAnsiTheme="minorHAnsi"/>
          <w:color w:val="000000"/>
          <w:sz w:val="22"/>
          <w:szCs w:val="22"/>
        </w:rPr>
        <w:t xml:space="preserve"> (FOS) e </w:t>
      </w:r>
      <w:proofErr w:type="spellStart"/>
      <w:r w:rsidRPr="00347F22">
        <w:rPr>
          <w:rFonts w:asciiTheme="minorHAnsi" w:hAnsiTheme="minorHAnsi"/>
          <w:color w:val="000000"/>
          <w:sz w:val="22"/>
          <w:szCs w:val="22"/>
        </w:rPr>
        <w:t>galactooligossacarídeos</w:t>
      </w:r>
      <w:proofErr w:type="spellEnd"/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 xml:space="preserve">(GOS) e ou outros nutrientes opcionais, suas quantidades devem </w:t>
      </w:r>
      <w:proofErr w:type="gramStart"/>
      <w:r w:rsidRPr="00347F22">
        <w:rPr>
          <w:rFonts w:asciiTheme="minorHAnsi" w:hAnsiTheme="minorHAnsi"/>
          <w:color w:val="000000"/>
          <w:sz w:val="22"/>
          <w:szCs w:val="22"/>
        </w:rPr>
        <w:t>ser</w:t>
      </w:r>
      <w:proofErr w:type="gramEnd"/>
    </w:p>
    <w:p w:rsidR="00BC1C6F" w:rsidRDefault="00BC1C6F" w:rsidP="00BC1C6F">
      <w:pPr>
        <w:autoSpaceDE w:val="0"/>
        <w:autoSpaceDN w:val="0"/>
        <w:jc w:val="both"/>
        <w:rPr>
          <w:rFonts w:asciiTheme="minorHAnsi" w:hAnsiTheme="minorHAnsi"/>
          <w:color w:val="000000"/>
        </w:rPr>
      </w:pPr>
      <w:proofErr w:type="gramStart"/>
      <w:r w:rsidRPr="00347F22">
        <w:rPr>
          <w:rFonts w:asciiTheme="minorHAnsi" w:hAnsiTheme="minorHAnsi"/>
          <w:color w:val="000000"/>
          <w:sz w:val="22"/>
          <w:szCs w:val="22"/>
        </w:rPr>
        <w:t>declaradas</w:t>
      </w:r>
      <w:proofErr w:type="gramEnd"/>
      <w:r w:rsidRPr="00347F22">
        <w:rPr>
          <w:rFonts w:asciiTheme="minorHAnsi" w:hAnsiTheme="minorHAnsi"/>
          <w:color w:val="000000"/>
          <w:sz w:val="22"/>
          <w:szCs w:val="22"/>
        </w:rPr>
        <w:t xml:space="preserve"> na informação nutricional." (NR)</w:t>
      </w:r>
    </w:p>
    <w:p w:rsidR="00BC1C6F" w:rsidRPr="00347F22" w:rsidRDefault="00BC1C6F" w:rsidP="00BC1C6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C1C6F" w:rsidRPr="00347F22" w:rsidRDefault="00BC1C6F" w:rsidP="00BC1C6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47F22">
        <w:rPr>
          <w:rFonts w:asciiTheme="minorHAnsi" w:hAnsiTheme="minorHAnsi"/>
          <w:color w:val="000000"/>
          <w:sz w:val="22"/>
          <w:szCs w:val="22"/>
        </w:rPr>
        <w:t xml:space="preserve">Art. 3 </w:t>
      </w:r>
      <w:proofErr w:type="spellStart"/>
      <w:r w:rsidRPr="00347F22">
        <w:rPr>
          <w:rFonts w:asciiTheme="minorHAnsi" w:hAnsiTheme="minorHAnsi"/>
          <w:color w:val="000000"/>
          <w:sz w:val="22"/>
          <w:szCs w:val="22"/>
        </w:rPr>
        <w:t>ºO</w:t>
      </w:r>
      <w:proofErr w:type="spellEnd"/>
      <w:r w:rsidRPr="00347F22">
        <w:rPr>
          <w:rFonts w:asciiTheme="minorHAnsi" w:hAnsiTheme="minorHAnsi"/>
          <w:color w:val="000000"/>
          <w:sz w:val="22"/>
          <w:szCs w:val="22"/>
        </w:rPr>
        <w:t xml:space="preserve"> art. 34 da Resolução - RDC nº 45, de 2011, passa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a vigorar com a seguinte redação:</w:t>
      </w:r>
    </w:p>
    <w:p w:rsidR="00BC1C6F" w:rsidRDefault="00BC1C6F" w:rsidP="00BC1C6F">
      <w:pPr>
        <w:autoSpaceDE w:val="0"/>
        <w:autoSpaceDN w:val="0"/>
        <w:jc w:val="both"/>
        <w:rPr>
          <w:rFonts w:asciiTheme="minorHAnsi" w:hAnsiTheme="minorHAnsi"/>
          <w:color w:val="000000"/>
        </w:rPr>
      </w:pPr>
      <w:r w:rsidRPr="00347F22">
        <w:rPr>
          <w:rFonts w:asciiTheme="minorHAnsi" w:hAnsiTheme="minorHAnsi"/>
          <w:color w:val="000000"/>
          <w:sz w:val="22"/>
          <w:szCs w:val="22"/>
        </w:rPr>
        <w:t xml:space="preserve">"Art. 34. Quando </w:t>
      </w:r>
      <w:proofErr w:type="spellStart"/>
      <w:r w:rsidRPr="00347F22">
        <w:rPr>
          <w:rFonts w:asciiTheme="minorHAnsi" w:hAnsiTheme="minorHAnsi"/>
          <w:color w:val="000000"/>
          <w:sz w:val="22"/>
          <w:szCs w:val="22"/>
        </w:rPr>
        <w:t>probióticos</w:t>
      </w:r>
      <w:proofErr w:type="spellEnd"/>
      <w:r w:rsidRPr="00347F22">
        <w:rPr>
          <w:rFonts w:asciiTheme="minorHAnsi" w:hAnsiTheme="minorHAnsi"/>
          <w:color w:val="000000"/>
          <w:sz w:val="22"/>
          <w:szCs w:val="22"/>
        </w:rPr>
        <w:t xml:space="preserve"> ou outros ingredientes opcionais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que não sejam classificados como nutrientes forem adicionados,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as quantidades devem ser declaradas próximo à informação nutricional,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 xml:space="preserve">por 100 </w:t>
      </w:r>
      <w:proofErr w:type="spellStart"/>
      <w:r w:rsidRPr="00347F22">
        <w:rPr>
          <w:rFonts w:asciiTheme="minorHAnsi" w:hAnsiTheme="minorHAnsi"/>
          <w:color w:val="000000"/>
          <w:sz w:val="22"/>
          <w:szCs w:val="22"/>
        </w:rPr>
        <w:t>mL</w:t>
      </w:r>
      <w:proofErr w:type="spellEnd"/>
      <w:r w:rsidRPr="00347F22">
        <w:rPr>
          <w:rFonts w:asciiTheme="minorHAnsi" w:hAnsiTheme="minorHAnsi"/>
          <w:color w:val="000000"/>
          <w:sz w:val="22"/>
          <w:szCs w:val="22"/>
        </w:rPr>
        <w:t xml:space="preserve"> do alimento pronto para consumo de acordo com</w:t>
      </w:r>
      <w:r>
        <w:rPr>
          <w:rFonts w:asciiTheme="minorHAnsi" w:hAnsiTheme="minorHAnsi"/>
          <w:color w:val="000000"/>
        </w:rPr>
        <w:t xml:space="preserve"> </w:t>
      </w:r>
      <w:r w:rsidRPr="00347F22">
        <w:rPr>
          <w:rFonts w:asciiTheme="minorHAnsi" w:hAnsiTheme="minorHAnsi"/>
          <w:color w:val="000000"/>
          <w:sz w:val="22"/>
          <w:szCs w:val="22"/>
        </w:rPr>
        <w:t>as instruções do fabricante." (NR</w:t>
      </w:r>
      <w:proofErr w:type="gramStart"/>
      <w:r w:rsidRPr="00347F22">
        <w:rPr>
          <w:rFonts w:asciiTheme="minorHAnsi" w:hAnsiTheme="minorHAnsi"/>
          <w:color w:val="000000"/>
          <w:sz w:val="22"/>
          <w:szCs w:val="22"/>
        </w:rPr>
        <w:t>)</w:t>
      </w:r>
      <w:proofErr w:type="gramEnd"/>
    </w:p>
    <w:p w:rsidR="00BC1C6F" w:rsidRPr="00347F22" w:rsidRDefault="00BC1C6F" w:rsidP="00BC1C6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C1C6F" w:rsidRDefault="00BC1C6F" w:rsidP="00BC1C6F">
      <w:pPr>
        <w:autoSpaceDE w:val="0"/>
        <w:autoSpaceDN w:val="0"/>
        <w:jc w:val="both"/>
        <w:rPr>
          <w:rFonts w:asciiTheme="minorHAnsi" w:hAnsiTheme="minorHAnsi"/>
          <w:color w:val="000000"/>
        </w:rPr>
      </w:pPr>
      <w:r w:rsidRPr="00347F22">
        <w:rPr>
          <w:rFonts w:asciiTheme="minorHAnsi" w:hAnsiTheme="minorHAnsi"/>
          <w:color w:val="000000"/>
          <w:sz w:val="22"/>
          <w:szCs w:val="22"/>
        </w:rPr>
        <w:t>Art. 4º Esta Resolução entra em vigor na data de sua publicação.</w:t>
      </w:r>
    </w:p>
    <w:p w:rsidR="00BC1C6F" w:rsidRPr="00347F22" w:rsidRDefault="00BC1C6F" w:rsidP="00BC1C6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C1C6F" w:rsidRPr="00347F22" w:rsidRDefault="00BC1C6F" w:rsidP="00BC1C6F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347F22">
        <w:rPr>
          <w:rFonts w:asciiTheme="minorHAnsi" w:hAnsiTheme="minorHAnsi"/>
          <w:color w:val="343334"/>
          <w:sz w:val="22"/>
          <w:szCs w:val="22"/>
        </w:rPr>
        <w:t>DIRCEU BRÁS APARECIDO BARBANO</w:t>
      </w:r>
    </w:p>
    <w:p w:rsidR="00BC1C6F" w:rsidRPr="00347F22" w:rsidRDefault="00BC1C6F" w:rsidP="00BC1C6F">
      <w:pPr>
        <w:jc w:val="both"/>
        <w:rPr>
          <w:rFonts w:asciiTheme="minorHAnsi" w:hAnsiTheme="minorHAnsi"/>
          <w:color w:val="404041"/>
          <w:sz w:val="22"/>
          <w:szCs w:val="22"/>
        </w:rPr>
      </w:pPr>
      <w:r w:rsidRPr="00347F22">
        <w:rPr>
          <w:rFonts w:asciiTheme="minorHAnsi" w:hAnsiTheme="minorHAnsi"/>
          <w:color w:val="404041"/>
          <w:sz w:val="22"/>
          <w:szCs w:val="22"/>
        </w:rPr>
        <w:t>Diretor-Presidente</w:t>
      </w:r>
    </w:p>
    <w:p w:rsidR="00BC1C6F" w:rsidRDefault="00BC1C6F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sectPr w:rsidR="00BC1C6F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 wp14:anchorId="5DF657EC" wp14:editId="4E97EEE5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</w:t>
    </w:r>
    <w:proofErr w:type="spellEnd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 wp14:anchorId="0436F2B1" wp14:editId="4B092A38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8C712C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</w:t>
    </w:r>
    <w:r w:rsidR="00BC1C6F">
      <w:rPr>
        <w:rStyle w:val="Forte"/>
        <w:rFonts w:ascii="Calibri" w:hAnsi="Calibri"/>
        <w:color w:val="000000"/>
        <w:sz w:val="16"/>
        <w:szCs w:val="16"/>
      </w:rPr>
      <w:t xml:space="preserve"> 15</w:t>
    </w:r>
    <w:r w:rsidR="00AB6965">
      <w:rPr>
        <w:rStyle w:val="Forte"/>
        <w:rFonts w:ascii="Calibri" w:hAnsi="Calibri"/>
        <w:color w:val="000000"/>
        <w:sz w:val="16"/>
        <w:szCs w:val="16"/>
      </w:rPr>
      <w:t>7</w:t>
    </w:r>
    <w:r w:rsidR="00E00D14">
      <w:rPr>
        <w:rStyle w:val="Forte"/>
        <w:rFonts w:ascii="Calibri" w:hAnsi="Calibri"/>
        <w:color w:val="000000"/>
        <w:sz w:val="16"/>
        <w:szCs w:val="16"/>
      </w:rPr>
      <w:t>/2014 | São Paulo,</w:t>
    </w:r>
    <w:proofErr w:type="gramStart"/>
    <w:r w:rsidR="00E00D14"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BC1C6F">
      <w:rPr>
        <w:rStyle w:val="Forte"/>
        <w:rFonts w:ascii="Calibri" w:hAnsi="Calibri"/>
        <w:color w:val="000000"/>
        <w:sz w:val="16"/>
        <w:szCs w:val="16"/>
      </w:rPr>
      <w:t xml:space="preserve"> </w:t>
    </w:r>
    <w:proofErr w:type="gramEnd"/>
    <w:r w:rsidR="00BC1C6F">
      <w:rPr>
        <w:rStyle w:val="Forte"/>
        <w:rFonts w:ascii="Calibri" w:hAnsi="Calibri"/>
        <w:color w:val="000000"/>
        <w:sz w:val="16"/>
        <w:szCs w:val="16"/>
      </w:rPr>
      <w:t>29 de Setembro de 2014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 wp14:anchorId="39A58FD8" wp14:editId="1F8C21B8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3A0684"/>
    <w:rsid w:val="00566F49"/>
    <w:rsid w:val="005E7E04"/>
    <w:rsid w:val="006A7046"/>
    <w:rsid w:val="006D15B0"/>
    <w:rsid w:val="008C712C"/>
    <w:rsid w:val="009D3AD1"/>
    <w:rsid w:val="00AB6965"/>
    <w:rsid w:val="00AE52E7"/>
    <w:rsid w:val="00BC1C6F"/>
    <w:rsid w:val="00E0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5</cp:revision>
  <cp:lastPrinted>2014-09-29T14:20:00Z</cp:lastPrinted>
  <dcterms:created xsi:type="dcterms:W3CDTF">2014-09-29T14:19:00Z</dcterms:created>
  <dcterms:modified xsi:type="dcterms:W3CDTF">2014-10-01T13:37:00Z</dcterms:modified>
</cp:coreProperties>
</file>