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C5" w:rsidRDefault="003E1BC5" w:rsidP="00F9704E">
      <w:pPr>
        <w:rPr>
          <w:rFonts w:asciiTheme="minorHAnsi" w:hAnsiTheme="minorHAnsi"/>
          <w:sz w:val="20"/>
          <w:szCs w:val="20"/>
        </w:rPr>
      </w:pPr>
    </w:p>
    <w:p w:rsidR="0022700B" w:rsidRDefault="0022700B" w:rsidP="0022700B">
      <w:pPr>
        <w:autoSpaceDE w:val="0"/>
        <w:autoSpaceDN w:val="0"/>
        <w:rPr>
          <w:rFonts w:ascii="Calibri" w:hAnsi="Calibri"/>
          <w:b/>
          <w:bCs/>
          <w:sz w:val="22"/>
          <w:szCs w:val="22"/>
        </w:rPr>
      </w:pPr>
      <w:r>
        <w:rPr>
          <w:rFonts w:ascii="Calibri" w:hAnsi="Calibri" w:cs="Arial"/>
          <w:b/>
          <w:bCs/>
          <w:color w:val="282526"/>
          <w:sz w:val="22"/>
          <w:szCs w:val="22"/>
        </w:rPr>
        <w:t>R</w:t>
      </w:r>
      <w:r>
        <w:rPr>
          <w:rFonts w:ascii="Calibri" w:hAnsi="Calibri" w:cs="Arial"/>
          <w:b/>
          <w:bCs/>
          <w:color w:val="282526"/>
          <w:sz w:val="22"/>
          <w:szCs w:val="22"/>
        </w:rPr>
        <w:t xml:space="preserve">esolução </w:t>
      </w:r>
      <w:r>
        <w:rPr>
          <w:rFonts w:ascii="Calibri" w:hAnsi="Calibri" w:cs="Arial"/>
          <w:b/>
          <w:bCs/>
          <w:color w:val="282526"/>
          <w:sz w:val="22"/>
          <w:szCs w:val="22"/>
        </w:rPr>
        <w:t xml:space="preserve">Nº 615, </w:t>
      </w:r>
      <w:r>
        <w:rPr>
          <w:rFonts w:ascii="Calibri" w:hAnsi="Calibri" w:cs="Arial"/>
          <w:b/>
          <w:bCs/>
          <w:color w:val="282526"/>
          <w:sz w:val="22"/>
          <w:szCs w:val="22"/>
        </w:rPr>
        <w:t xml:space="preserve">de </w:t>
      </w:r>
      <w:proofErr w:type="gramStart"/>
      <w:r>
        <w:rPr>
          <w:rFonts w:ascii="Calibri" w:hAnsi="Calibri" w:cs="Arial"/>
          <w:b/>
          <w:bCs/>
          <w:color w:val="282526"/>
          <w:sz w:val="22"/>
          <w:szCs w:val="22"/>
        </w:rPr>
        <w:t>25/11/2015</w:t>
      </w:r>
      <w:proofErr w:type="gramEnd"/>
    </w:p>
    <w:p w:rsidR="0022700B" w:rsidRDefault="0022700B" w:rsidP="0022700B">
      <w:pPr>
        <w:autoSpaceDE w:val="0"/>
        <w:autoSpaceDN w:val="0"/>
        <w:rPr>
          <w:rFonts w:ascii="Calibri" w:hAnsi="Calibri"/>
          <w:b/>
          <w:bCs/>
          <w:color w:val="282526"/>
          <w:sz w:val="22"/>
          <w:szCs w:val="22"/>
        </w:rPr>
      </w:pPr>
      <w:r>
        <w:rPr>
          <w:rFonts w:ascii="Calibri" w:hAnsi="Calibri"/>
          <w:b/>
          <w:bCs/>
          <w:color w:val="282526"/>
          <w:sz w:val="22"/>
          <w:szCs w:val="22"/>
        </w:rPr>
        <w:t>DOU 27/11/2015</w:t>
      </w:r>
    </w:p>
    <w:p w:rsidR="0022700B" w:rsidRDefault="0022700B" w:rsidP="0022700B">
      <w:pPr>
        <w:rPr>
          <w:rFonts w:ascii="Calibri" w:hAnsi="Calibri" w:cs="Arial"/>
          <w:sz w:val="22"/>
          <w:szCs w:val="22"/>
        </w:rPr>
      </w:pPr>
    </w:p>
    <w:p w:rsidR="0022700B" w:rsidRDefault="0022700B" w:rsidP="0022700B">
      <w:pPr>
        <w:autoSpaceDE w:val="0"/>
        <w:autoSpaceDN w:val="0"/>
        <w:jc w:val="both"/>
        <w:rPr>
          <w:rFonts w:ascii="Calibri" w:hAnsi="Calibri" w:cs="Arial"/>
          <w:iCs/>
          <w:color w:val="2E2C2D"/>
          <w:sz w:val="22"/>
          <w:szCs w:val="22"/>
        </w:rPr>
      </w:pPr>
      <w:r>
        <w:rPr>
          <w:rFonts w:ascii="Calibri" w:hAnsi="Calibri" w:cs="Arial"/>
          <w:iCs/>
          <w:color w:val="2E2C2D"/>
          <w:sz w:val="22"/>
          <w:szCs w:val="22"/>
        </w:rPr>
        <w:t>Dispõe sobre os valores dos preços de serviços e custos de emissão devidos aos Conselhos Regionais de Farmácia.</w:t>
      </w:r>
    </w:p>
    <w:p w:rsidR="0022700B" w:rsidRDefault="0022700B" w:rsidP="0022700B">
      <w:pPr>
        <w:autoSpaceDE w:val="0"/>
        <w:autoSpaceDN w:val="0"/>
        <w:ind w:left="4536"/>
        <w:jc w:val="both"/>
        <w:rPr>
          <w:rFonts w:ascii="Calibri" w:hAnsi="Calibri" w:cs="Arial"/>
          <w:i/>
          <w:iCs/>
          <w:color w:val="2E2C2D"/>
          <w:sz w:val="22"/>
          <w:szCs w:val="22"/>
        </w:rPr>
      </w:pPr>
    </w:p>
    <w:p w:rsidR="0022700B" w:rsidRDefault="0022700B" w:rsidP="0022700B">
      <w:pPr>
        <w:autoSpaceDE w:val="0"/>
        <w:autoSpaceDN w:val="0"/>
        <w:jc w:val="both"/>
        <w:rPr>
          <w:rFonts w:ascii="Calibri" w:hAnsi="Calibri" w:cs="Arial"/>
          <w:color w:val="000000"/>
          <w:sz w:val="22"/>
          <w:szCs w:val="22"/>
        </w:rPr>
      </w:pPr>
      <w:r>
        <w:rPr>
          <w:rFonts w:ascii="Calibri" w:hAnsi="Calibri" w:cs="Arial"/>
          <w:color w:val="000000"/>
          <w:sz w:val="22"/>
          <w:szCs w:val="22"/>
        </w:rPr>
        <w:t xml:space="preserve">O CONSELHO FEDERAL DE FARMÁCIA, no uso das atribuições que lhe são conferidas pelo artigo 6º, alínea "g", da Lei nº 3.820, de 11 de novembro de 1960; </w:t>
      </w:r>
      <w:proofErr w:type="gramStart"/>
      <w:r>
        <w:rPr>
          <w:rFonts w:ascii="Calibri" w:hAnsi="Calibri" w:cs="Arial"/>
          <w:color w:val="000000"/>
          <w:sz w:val="22"/>
          <w:szCs w:val="22"/>
        </w:rPr>
        <w:t>e</w:t>
      </w:r>
      <w:proofErr w:type="gramEnd"/>
      <w:r>
        <w:rPr>
          <w:rFonts w:ascii="Calibri" w:hAnsi="Calibri" w:cs="Arial"/>
          <w:color w:val="000000"/>
          <w:sz w:val="22"/>
          <w:szCs w:val="22"/>
        </w:rPr>
        <w:t xml:space="preserve"> </w:t>
      </w:r>
    </w:p>
    <w:p w:rsidR="0022700B" w:rsidRDefault="0022700B" w:rsidP="0022700B">
      <w:pPr>
        <w:autoSpaceDE w:val="0"/>
        <w:autoSpaceDN w:val="0"/>
        <w:ind w:firstLine="567"/>
        <w:jc w:val="both"/>
        <w:rPr>
          <w:rFonts w:ascii="Calibri" w:hAnsi="Calibri" w:cs="Arial"/>
          <w:color w:val="000000"/>
          <w:sz w:val="22"/>
          <w:szCs w:val="22"/>
        </w:rPr>
      </w:pPr>
    </w:p>
    <w:p w:rsidR="0022700B" w:rsidRDefault="0022700B" w:rsidP="0022700B">
      <w:pPr>
        <w:autoSpaceDE w:val="0"/>
        <w:autoSpaceDN w:val="0"/>
        <w:jc w:val="both"/>
        <w:rPr>
          <w:rFonts w:ascii="Calibri" w:hAnsi="Calibri" w:cs="Arial"/>
          <w:color w:val="000000"/>
          <w:sz w:val="22"/>
          <w:szCs w:val="22"/>
        </w:rPr>
      </w:pPr>
      <w:r>
        <w:rPr>
          <w:rFonts w:ascii="Calibri" w:hAnsi="Calibri" w:cs="Arial"/>
          <w:color w:val="000000"/>
          <w:sz w:val="22"/>
          <w:szCs w:val="22"/>
        </w:rPr>
        <w:t>CONSIDERANDO os termos da Lei Federal nº 11.000, de 15 de dezembro de 2004, que dispõe sobre os preços de serviços relacionados com as atribuições legais dos Conselhos de Fiscalização de Profissões Regulamentadas, resolve:</w:t>
      </w:r>
    </w:p>
    <w:p w:rsidR="0022700B" w:rsidRDefault="0022700B" w:rsidP="0022700B">
      <w:pPr>
        <w:jc w:val="both"/>
        <w:rPr>
          <w:rFonts w:ascii="Calibri" w:hAnsi="Calibri" w:cs="Arial"/>
          <w:color w:val="000000"/>
          <w:sz w:val="22"/>
          <w:szCs w:val="22"/>
        </w:rPr>
      </w:pPr>
      <w:r>
        <w:rPr>
          <w:rFonts w:ascii="Calibri" w:hAnsi="Calibri" w:cs="Arial"/>
          <w:color w:val="000000"/>
          <w:sz w:val="22"/>
          <w:szCs w:val="22"/>
        </w:rPr>
        <w:t>Art. 1º - Divulgar os valores dos preços de serviços e custos de emissão conforme a tabela abaixo:</w:t>
      </w:r>
    </w:p>
    <w:p w:rsidR="0022700B" w:rsidRDefault="0022700B" w:rsidP="0022700B">
      <w:pPr>
        <w:pStyle w:val="Default"/>
        <w:rPr>
          <w:rFonts w:ascii="Calibri" w:hAnsi="Calibri"/>
          <w:sz w:val="22"/>
          <w:szCs w:val="22"/>
        </w:rPr>
      </w:pPr>
    </w:p>
    <w:tbl>
      <w:tblPr>
        <w:tblW w:w="5000" w:type="pct"/>
        <w:jc w:val="center"/>
        <w:tblCellMar>
          <w:left w:w="0" w:type="dxa"/>
          <w:right w:w="0" w:type="dxa"/>
        </w:tblCellMar>
        <w:tblLook w:val="04A0" w:firstRow="1" w:lastRow="0" w:firstColumn="1" w:lastColumn="0" w:noHBand="0" w:noVBand="1"/>
      </w:tblPr>
      <w:tblGrid>
        <w:gridCol w:w="4892"/>
        <w:gridCol w:w="3828"/>
      </w:tblGrid>
      <w:tr w:rsidR="0022700B" w:rsidTr="0022700B">
        <w:trPr>
          <w:trHeight w:val="153"/>
          <w:jc w:val="center"/>
        </w:trPr>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DESCRIÇÃO</w:t>
            </w:r>
          </w:p>
        </w:tc>
        <w:tc>
          <w:tcPr>
            <w:tcW w:w="219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VALOR (R$)</w:t>
            </w:r>
          </w:p>
        </w:tc>
      </w:tr>
      <w:tr w:rsidR="0022700B" w:rsidTr="0022700B">
        <w:trPr>
          <w:trHeight w:val="148"/>
          <w:jc w:val="center"/>
        </w:trPr>
        <w:tc>
          <w:tcPr>
            <w:tcW w:w="280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Inscrição de Pessoa Jurídica</w:t>
            </w:r>
          </w:p>
        </w:tc>
        <w:tc>
          <w:tcPr>
            <w:tcW w:w="219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246,11 a 435,81</w:t>
            </w:r>
          </w:p>
        </w:tc>
      </w:tr>
      <w:tr w:rsidR="0022700B" w:rsidTr="0022700B">
        <w:trPr>
          <w:trHeight w:val="150"/>
          <w:jc w:val="center"/>
        </w:trPr>
        <w:tc>
          <w:tcPr>
            <w:tcW w:w="280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Inscrição de Pessoa Física - nível superior</w:t>
            </w:r>
          </w:p>
        </w:tc>
        <w:tc>
          <w:tcPr>
            <w:tcW w:w="219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123,01 a 145,23</w:t>
            </w:r>
          </w:p>
        </w:tc>
      </w:tr>
      <w:tr w:rsidR="0022700B" w:rsidTr="0022700B">
        <w:trPr>
          <w:trHeight w:val="148"/>
          <w:jc w:val="center"/>
        </w:trPr>
        <w:tc>
          <w:tcPr>
            <w:tcW w:w="280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Inscrição de Pessoa Física - nível médio</w:t>
            </w:r>
          </w:p>
        </w:tc>
        <w:tc>
          <w:tcPr>
            <w:tcW w:w="219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50% do nível superior</w:t>
            </w:r>
          </w:p>
        </w:tc>
      </w:tr>
      <w:tr w:rsidR="0022700B" w:rsidTr="0022700B">
        <w:trPr>
          <w:trHeight w:val="467"/>
          <w:jc w:val="center"/>
        </w:trPr>
        <w:tc>
          <w:tcPr>
            <w:tcW w:w="2805" w:type="pct"/>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proofErr w:type="gramStart"/>
            <w:r>
              <w:rPr>
                <w:rFonts w:ascii="Calibri" w:hAnsi="Calibri"/>
                <w:sz w:val="22"/>
                <w:szCs w:val="22"/>
              </w:rPr>
              <w:t>Inscrição de Pessoa Física - recém-formado</w:t>
            </w:r>
            <w:proofErr w:type="gramEnd"/>
            <w:r>
              <w:rPr>
                <w:rFonts w:ascii="Calibri" w:hAnsi="Calibri"/>
                <w:sz w:val="22"/>
                <w:szCs w:val="22"/>
              </w:rPr>
              <w:t xml:space="preserve"> (1ª inscrição)</w:t>
            </w:r>
          </w:p>
        </w:tc>
        <w:tc>
          <w:tcPr>
            <w:tcW w:w="2195" w:type="pct"/>
            <w:tcBorders>
              <w:top w:val="nil"/>
              <w:left w:val="nil"/>
              <w:bottom w:val="nil"/>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50% dos respectivos valores para nível superior e para nível médio</w:t>
            </w:r>
          </w:p>
        </w:tc>
      </w:tr>
      <w:tr w:rsidR="0022700B" w:rsidTr="0022700B">
        <w:trPr>
          <w:trHeight w:val="148"/>
          <w:jc w:val="center"/>
        </w:trPr>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Transferência</w:t>
            </w:r>
          </w:p>
        </w:tc>
        <w:tc>
          <w:tcPr>
            <w:tcW w:w="219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71,21 a 145,23</w:t>
            </w:r>
          </w:p>
        </w:tc>
      </w:tr>
      <w:tr w:rsidR="0022700B" w:rsidTr="0022700B">
        <w:trPr>
          <w:trHeight w:val="150"/>
          <w:jc w:val="center"/>
        </w:trPr>
        <w:tc>
          <w:tcPr>
            <w:tcW w:w="280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Expedição ou Substituição de Carteira</w:t>
            </w:r>
          </w:p>
        </w:tc>
        <w:tc>
          <w:tcPr>
            <w:tcW w:w="219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71,21 a 87,12</w:t>
            </w:r>
          </w:p>
        </w:tc>
      </w:tr>
      <w:tr w:rsidR="0022700B" w:rsidTr="0022700B">
        <w:trPr>
          <w:trHeight w:val="148"/>
          <w:jc w:val="center"/>
        </w:trPr>
        <w:tc>
          <w:tcPr>
            <w:tcW w:w="280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Expedição ou Substituição de Cédula</w:t>
            </w:r>
          </w:p>
        </w:tc>
        <w:tc>
          <w:tcPr>
            <w:tcW w:w="219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71,21 a 87,12</w:t>
            </w:r>
          </w:p>
        </w:tc>
      </w:tr>
      <w:tr w:rsidR="0022700B" w:rsidTr="0022700B">
        <w:trPr>
          <w:trHeight w:val="148"/>
          <w:jc w:val="center"/>
        </w:trPr>
        <w:tc>
          <w:tcPr>
            <w:tcW w:w="280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Expedição de 2ª Via</w:t>
            </w:r>
          </w:p>
        </w:tc>
        <w:tc>
          <w:tcPr>
            <w:tcW w:w="219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71,21 a 87,12</w:t>
            </w:r>
          </w:p>
        </w:tc>
      </w:tr>
      <w:tr w:rsidR="0022700B" w:rsidTr="0022700B">
        <w:trPr>
          <w:trHeight w:val="148"/>
          <w:jc w:val="center"/>
        </w:trPr>
        <w:tc>
          <w:tcPr>
            <w:tcW w:w="280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Certidões</w:t>
            </w:r>
          </w:p>
        </w:tc>
        <w:tc>
          <w:tcPr>
            <w:tcW w:w="219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700B" w:rsidRDefault="0022700B">
            <w:pPr>
              <w:pStyle w:val="Default"/>
              <w:jc w:val="center"/>
              <w:rPr>
                <w:rFonts w:ascii="Calibri" w:hAnsi="Calibri"/>
                <w:sz w:val="22"/>
                <w:szCs w:val="22"/>
              </w:rPr>
            </w:pPr>
            <w:r>
              <w:rPr>
                <w:rFonts w:ascii="Calibri" w:hAnsi="Calibri"/>
                <w:sz w:val="22"/>
                <w:szCs w:val="22"/>
              </w:rPr>
              <w:t>71,21 a 145,23</w:t>
            </w:r>
          </w:p>
        </w:tc>
      </w:tr>
    </w:tbl>
    <w:p w:rsidR="0022700B" w:rsidRDefault="0022700B" w:rsidP="0022700B">
      <w:pPr>
        <w:autoSpaceDE w:val="0"/>
        <w:autoSpaceDN w:val="0"/>
        <w:ind w:firstLine="567"/>
        <w:rPr>
          <w:rFonts w:ascii="Calibri" w:hAnsi="Calibri" w:cs="Arial"/>
          <w:color w:val="000000"/>
          <w:sz w:val="22"/>
          <w:szCs w:val="22"/>
        </w:rPr>
      </w:pPr>
    </w:p>
    <w:p w:rsidR="0022700B" w:rsidRDefault="0022700B" w:rsidP="0022700B">
      <w:pPr>
        <w:autoSpaceDE w:val="0"/>
        <w:autoSpaceDN w:val="0"/>
        <w:jc w:val="both"/>
        <w:rPr>
          <w:rFonts w:ascii="Calibri" w:hAnsi="Calibri" w:cs="Arial"/>
          <w:color w:val="000000"/>
          <w:sz w:val="22"/>
          <w:szCs w:val="22"/>
        </w:rPr>
      </w:pPr>
      <w:r>
        <w:rPr>
          <w:rFonts w:ascii="Calibri" w:hAnsi="Calibri" w:cs="Arial"/>
          <w:color w:val="000000"/>
          <w:sz w:val="22"/>
          <w:szCs w:val="22"/>
        </w:rPr>
        <w:t>Art. 2º - Os Conselhos Regionais de Farmácia deverão obedecer aos valores definidos nesta resolução.</w:t>
      </w:r>
    </w:p>
    <w:p w:rsidR="0022700B" w:rsidRDefault="0022700B" w:rsidP="0022700B">
      <w:pPr>
        <w:autoSpaceDE w:val="0"/>
        <w:autoSpaceDN w:val="0"/>
        <w:ind w:firstLine="567"/>
        <w:jc w:val="both"/>
        <w:rPr>
          <w:rFonts w:ascii="Calibri" w:hAnsi="Calibri" w:cs="Arial"/>
          <w:color w:val="000000"/>
          <w:sz w:val="22"/>
          <w:szCs w:val="22"/>
        </w:rPr>
      </w:pPr>
    </w:p>
    <w:p w:rsidR="0022700B" w:rsidRDefault="0022700B" w:rsidP="0022700B">
      <w:pPr>
        <w:autoSpaceDE w:val="0"/>
        <w:autoSpaceDN w:val="0"/>
        <w:jc w:val="both"/>
        <w:rPr>
          <w:rFonts w:ascii="Calibri" w:hAnsi="Calibri" w:cs="Arial"/>
          <w:color w:val="000000"/>
          <w:sz w:val="22"/>
          <w:szCs w:val="22"/>
        </w:rPr>
      </w:pPr>
      <w:bookmarkStart w:id="0" w:name="_GoBack"/>
      <w:bookmarkEnd w:id="0"/>
      <w:r>
        <w:rPr>
          <w:rFonts w:ascii="Calibri" w:hAnsi="Calibri" w:cs="Arial"/>
          <w:color w:val="000000"/>
          <w:sz w:val="22"/>
          <w:szCs w:val="22"/>
        </w:rPr>
        <w:t>Art. 3º - Esta resolução entra em vigor na data de sua publicação, revogando-se as disposições em contrário, em especial a Resolução/CFF nº 607, de 27 de novembro de 2014, publicada no DOU em 1º/12/2014, Seção 1, página 129.</w:t>
      </w:r>
    </w:p>
    <w:p w:rsidR="0022700B" w:rsidRDefault="0022700B" w:rsidP="0022700B">
      <w:pPr>
        <w:rPr>
          <w:rFonts w:ascii="Calibri" w:hAnsi="Calibri" w:cs="Arial"/>
          <w:color w:val="343334"/>
          <w:sz w:val="22"/>
          <w:szCs w:val="22"/>
        </w:rPr>
      </w:pPr>
    </w:p>
    <w:p w:rsidR="0022700B" w:rsidRDefault="0022700B" w:rsidP="0022700B">
      <w:pPr>
        <w:rPr>
          <w:rFonts w:ascii="Calibri" w:hAnsi="Calibri" w:cs="Arial"/>
          <w:sz w:val="22"/>
          <w:szCs w:val="22"/>
        </w:rPr>
      </w:pPr>
      <w:r>
        <w:rPr>
          <w:rFonts w:ascii="Calibri" w:hAnsi="Calibri" w:cs="Arial"/>
          <w:sz w:val="22"/>
          <w:szCs w:val="22"/>
        </w:rPr>
        <w:t xml:space="preserve">WALTER DA SILVA JORGE JOÃO </w:t>
      </w:r>
    </w:p>
    <w:p w:rsidR="0022700B" w:rsidRDefault="0022700B" w:rsidP="0022700B">
      <w:pPr>
        <w:rPr>
          <w:rFonts w:ascii="Calibri" w:hAnsi="Calibri" w:cs="Arial"/>
          <w:sz w:val="22"/>
          <w:szCs w:val="22"/>
        </w:rPr>
      </w:pPr>
      <w:r>
        <w:rPr>
          <w:rFonts w:ascii="Calibri" w:hAnsi="Calibri" w:cs="Arial"/>
          <w:sz w:val="22"/>
          <w:szCs w:val="22"/>
        </w:rPr>
        <w:t xml:space="preserve">Presidente do Conselho </w:t>
      </w:r>
    </w:p>
    <w:p w:rsidR="0022700B" w:rsidRDefault="0022700B" w:rsidP="00F9704E">
      <w:pPr>
        <w:rPr>
          <w:rFonts w:asciiTheme="minorHAnsi" w:hAnsiTheme="minorHAnsi"/>
          <w:sz w:val="20"/>
          <w:szCs w:val="20"/>
        </w:rPr>
      </w:pPr>
    </w:p>
    <w:sectPr w:rsidR="0022700B" w:rsidSect="00AE52E7">
      <w:headerReference w:type="default" r:id="rId7"/>
      <w:footerReference w:type="default" r:id="rId8"/>
      <w:pgSz w:w="11906" w:h="16838" w:code="9"/>
      <w:pgMar w:top="1417" w:right="1701" w:bottom="1417"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E7" w:rsidRDefault="00AE52E7" w:rsidP="00AE52E7">
      <w:r>
        <w:separator/>
      </w:r>
    </w:p>
  </w:endnote>
  <w:endnote w:type="continuationSeparator" w:id="0">
    <w:p w:rsidR="00AE52E7" w:rsidRDefault="00AE52E7" w:rsidP="00AE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E7" w:rsidRDefault="00AE52E7">
    <w:pPr>
      <w:pStyle w:val="Rodap"/>
    </w:pPr>
    <w:r>
      <w:rPr>
        <w:noProof/>
        <w:lang w:eastAsia="pt-BR"/>
      </w:rPr>
      <w:drawing>
        <wp:inline distT="0" distB="0" distL="0" distR="0" wp14:anchorId="4000FE48" wp14:editId="0127F085">
          <wp:extent cx="5400040" cy="412115"/>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odape.png"/>
                  <pic:cNvPicPr/>
                </pic:nvPicPr>
                <pic:blipFill>
                  <a:blip r:embed="rId1">
                    <a:extLst>
                      <a:ext uri="{28A0092B-C50C-407E-A947-70E740481C1C}">
                        <a14:useLocalDpi xmlns:a14="http://schemas.microsoft.com/office/drawing/2010/main" val="0"/>
                      </a:ext>
                    </a:extLst>
                  </a:blip>
                  <a:stretch>
                    <a:fillRect/>
                  </a:stretch>
                </pic:blipFill>
                <pic:spPr>
                  <a:xfrm>
                    <a:off x="0" y="0"/>
                    <a:ext cx="5400040" cy="412115"/>
                  </a:xfrm>
                  <a:prstGeom prst="rect">
                    <a:avLst/>
                  </a:prstGeom>
                </pic:spPr>
              </pic:pic>
            </a:graphicData>
          </a:graphic>
        </wp:inline>
      </w:drawing>
    </w:r>
  </w:p>
  <w:p w:rsidR="00AE52E7" w:rsidRPr="00AE52E7" w:rsidRDefault="00AE52E7" w:rsidP="00AE52E7">
    <w:pPr>
      <w:rPr>
        <w:rFonts w:ascii="Calibri" w:eastAsia="Times New Roman" w:hAnsi="Calibri"/>
        <w:b/>
        <w:bCs/>
        <w:color w:val="000000"/>
        <w:sz w:val="16"/>
        <w:szCs w:val="16"/>
      </w:rPr>
    </w:pPr>
    <w:r w:rsidRPr="00AE52E7">
      <w:rPr>
        <w:rFonts w:ascii="Calibri" w:eastAsia="Times New Roman" w:hAnsi="Calibri"/>
        <w:b/>
        <w:bCs/>
        <w:color w:val="000000"/>
        <w:sz w:val="16"/>
        <w:szCs w:val="16"/>
      </w:rPr>
      <w:t>Respons</w:t>
    </w:r>
    <w:r w:rsidR="00043462">
      <w:rPr>
        <w:rFonts w:ascii="Calibri" w:eastAsia="Times New Roman" w:hAnsi="Calibri"/>
        <w:b/>
        <w:bCs/>
        <w:color w:val="000000"/>
        <w:sz w:val="16"/>
        <w:szCs w:val="16"/>
      </w:rPr>
      <w:t>ável: Rosana Maste</w:t>
    </w:r>
    <w:r w:rsidR="003A0684">
      <w:rPr>
        <w:rFonts w:ascii="Calibri" w:eastAsia="Times New Roman" w:hAnsi="Calibri"/>
        <w:b/>
        <w:bCs/>
        <w:color w:val="000000"/>
        <w:sz w:val="16"/>
        <w:szCs w:val="16"/>
      </w:rPr>
      <w:t>l</w:t>
    </w:r>
    <w:r w:rsidR="00043462">
      <w:rPr>
        <w:rFonts w:ascii="Calibri" w:eastAsia="Times New Roman" w:hAnsi="Calibri"/>
        <w:b/>
        <w:bCs/>
        <w:color w:val="000000"/>
        <w:sz w:val="16"/>
        <w:szCs w:val="16"/>
      </w:rPr>
      <w:t>laro- Tel.(11</w:t>
    </w:r>
    <w:r w:rsidRPr="00AE52E7">
      <w:rPr>
        <w:rFonts w:ascii="Calibri" w:eastAsia="Times New Roman" w:hAnsi="Calibri"/>
        <w:b/>
        <w:bCs/>
        <w:color w:val="000000"/>
        <w:sz w:val="16"/>
        <w:szCs w:val="16"/>
      </w:rPr>
      <w:t xml:space="preserve">)3897-9772                              </w:t>
    </w:r>
    <w:r>
      <w:rPr>
        <w:rFonts w:ascii="Calibri" w:eastAsia="Times New Roman" w:hAnsi="Calibri"/>
        <w:b/>
        <w:bCs/>
        <w:color w:val="000000"/>
        <w:sz w:val="16"/>
        <w:szCs w:val="16"/>
      </w:rPr>
      <w:tab/>
    </w:r>
    <w:r>
      <w:rPr>
        <w:rFonts w:ascii="Calibri" w:eastAsia="Times New Roman" w:hAnsi="Calibri"/>
        <w:b/>
        <w:bCs/>
        <w:color w:val="000000"/>
        <w:sz w:val="16"/>
        <w:szCs w:val="16"/>
      </w:rPr>
      <w:tab/>
    </w:r>
    <w:r w:rsidRPr="00AE52E7">
      <w:rPr>
        <w:rFonts w:ascii="Calibri" w:eastAsia="Times New Roman" w:hAnsi="Calibri"/>
        <w:b/>
        <w:bCs/>
        <w:color w:val="000000"/>
        <w:sz w:val="16"/>
        <w:szCs w:val="16"/>
      </w:rPr>
      <w:t>Rua Alvorada, 1.280 - Vila Olímpia</w:t>
    </w:r>
  </w:p>
  <w:p w:rsidR="00AE52E7" w:rsidRPr="00AE52E7" w:rsidRDefault="00AE52E7" w:rsidP="00AE52E7">
    <w:pPr>
      <w:rPr>
        <w:rFonts w:eastAsia="Times New Roman"/>
        <w:color w:val="000000"/>
        <w:sz w:val="27"/>
        <w:szCs w:val="27"/>
      </w:rPr>
    </w:pPr>
    <w:r w:rsidRPr="00AE52E7">
      <w:rPr>
        <w:rFonts w:ascii="Calibri" w:eastAsia="Times New Roman" w:hAnsi="Calibri"/>
        <w:b/>
        <w:bCs/>
        <w:color w:val="000000"/>
        <w:sz w:val="16"/>
        <w:szCs w:val="16"/>
      </w:rPr>
      <w:t xml:space="preserve">E-mail: rosana@sindusfarma.org.br - </w:t>
    </w:r>
    <w:proofErr w:type="gramStart"/>
    <w:r w:rsidRPr="00AE52E7">
      <w:rPr>
        <w:rFonts w:ascii="Calibri" w:eastAsia="Times New Roman" w:hAnsi="Calibri"/>
        <w:b/>
        <w:bCs/>
        <w:color w:val="000000"/>
        <w:sz w:val="16"/>
        <w:szCs w:val="16"/>
      </w:rPr>
      <w:t>sindusfarma.org.</w:t>
    </w:r>
    <w:proofErr w:type="gramEnd"/>
    <w:r w:rsidRPr="00AE52E7">
      <w:rPr>
        <w:rFonts w:ascii="Calibri" w:eastAsia="Times New Roman" w:hAnsi="Calibri"/>
        <w:b/>
        <w:bCs/>
        <w:color w:val="000000"/>
        <w:sz w:val="16"/>
        <w:szCs w:val="16"/>
      </w:rPr>
      <w:t>br                            São Paulo/SP - CEP 04550-004</w:t>
    </w:r>
  </w:p>
  <w:p w:rsidR="00AE52E7" w:rsidRDefault="00AE52E7">
    <w:pPr>
      <w:pStyle w:val="Rodap"/>
    </w:pPr>
  </w:p>
  <w:p w:rsidR="00AE52E7" w:rsidRDefault="00AE52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E7" w:rsidRDefault="00AE52E7" w:rsidP="00AE52E7">
      <w:r>
        <w:separator/>
      </w:r>
    </w:p>
  </w:footnote>
  <w:footnote w:type="continuationSeparator" w:id="0">
    <w:p w:rsidR="00AE52E7" w:rsidRDefault="00AE52E7" w:rsidP="00AE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E7" w:rsidRDefault="00AE52E7">
    <w:pPr>
      <w:pStyle w:val="Cabealho"/>
    </w:pPr>
    <w:r>
      <w:rPr>
        <w:noProof/>
        <w:lang w:eastAsia="pt-BR"/>
      </w:rPr>
      <w:drawing>
        <wp:inline distT="0" distB="0" distL="0" distR="0" wp14:anchorId="1FE483A7" wp14:editId="1C9B708B">
          <wp:extent cx="5400040" cy="11588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opo.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158875"/>
                  </a:xfrm>
                  <a:prstGeom prst="rect">
                    <a:avLst/>
                  </a:prstGeom>
                </pic:spPr>
              </pic:pic>
            </a:graphicData>
          </a:graphic>
        </wp:inline>
      </w:drawing>
    </w:r>
  </w:p>
  <w:p w:rsidR="00AE52E7" w:rsidRPr="00AE52E7" w:rsidRDefault="00B81A19" w:rsidP="00AE52E7">
    <w:pPr>
      <w:pStyle w:val="Cabealho"/>
      <w:jc w:val="center"/>
      <w:rPr>
        <w:sz w:val="6"/>
        <w:szCs w:val="6"/>
      </w:rPr>
    </w:pPr>
    <w:r>
      <w:rPr>
        <w:rStyle w:val="Forte"/>
        <w:rFonts w:ascii="Calibri" w:hAnsi="Calibri"/>
        <w:color w:val="000000"/>
        <w:sz w:val="16"/>
        <w:szCs w:val="16"/>
      </w:rPr>
      <w:t>Edição nº 16</w:t>
    </w:r>
    <w:r w:rsidR="0022700B">
      <w:rPr>
        <w:rStyle w:val="Forte"/>
        <w:rFonts w:ascii="Calibri" w:hAnsi="Calibri"/>
        <w:color w:val="000000"/>
        <w:sz w:val="16"/>
        <w:szCs w:val="16"/>
      </w:rPr>
      <w:t>7</w:t>
    </w:r>
    <w:r>
      <w:rPr>
        <w:rStyle w:val="Forte"/>
        <w:rFonts w:ascii="Calibri" w:hAnsi="Calibri"/>
        <w:color w:val="000000"/>
        <w:sz w:val="16"/>
        <w:szCs w:val="16"/>
      </w:rPr>
      <w:t>/2015</w:t>
    </w:r>
    <w:proofErr w:type="gramStart"/>
    <w:r>
      <w:rPr>
        <w:rStyle w:val="Forte"/>
        <w:rFonts w:ascii="Calibri" w:hAnsi="Calibri"/>
        <w:color w:val="000000"/>
        <w:sz w:val="16"/>
        <w:szCs w:val="16"/>
      </w:rPr>
      <w:t xml:space="preserve">  </w:t>
    </w:r>
    <w:proofErr w:type="gramEnd"/>
    <w:r>
      <w:rPr>
        <w:rStyle w:val="Forte"/>
        <w:rFonts w:ascii="Calibri" w:hAnsi="Calibri"/>
        <w:color w:val="000000"/>
        <w:sz w:val="16"/>
        <w:szCs w:val="16"/>
      </w:rPr>
      <w:t xml:space="preserve">|  </w:t>
    </w:r>
    <w:r w:rsidR="00E00D14">
      <w:rPr>
        <w:rStyle w:val="Forte"/>
        <w:rFonts w:ascii="Calibri" w:hAnsi="Calibri"/>
        <w:color w:val="000000"/>
        <w:sz w:val="16"/>
        <w:szCs w:val="16"/>
      </w:rPr>
      <w:t>São Paulo,</w:t>
    </w:r>
    <w:r w:rsidR="00BE52B0">
      <w:rPr>
        <w:rStyle w:val="Forte"/>
        <w:rFonts w:ascii="Calibri" w:hAnsi="Calibri"/>
        <w:color w:val="000000"/>
        <w:sz w:val="16"/>
        <w:szCs w:val="16"/>
      </w:rPr>
      <w:t xml:space="preserve"> </w:t>
    </w:r>
    <w:r w:rsidR="00245BB1">
      <w:rPr>
        <w:rStyle w:val="Forte"/>
        <w:rFonts w:ascii="Calibri" w:hAnsi="Calibri"/>
        <w:color w:val="000000"/>
        <w:sz w:val="16"/>
        <w:szCs w:val="16"/>
      </w:rPr>
      <w:t>27</w:t>
    </w:r>
    <w:r w:rsidR="00BE52B0">
      <w:rPr>
        <w:rStyle w:val="Forte"/>
        <w:rFonts w:ascii="Calibri" w:hAnsi="Calibri"/>
        <w:color w:val="000000"/>
        <w:sz w:val="16"/>
        <w:szCs w:val="16"/>
      </w:rPr>
      <w:t xml:space="preserve"> de </w:t>
    </w:r>
    <w:r>
      <w:rPr>
        <w:rStyle w:val="Forte"/>
        <w:rFonts w:ascii="Calibri" w:hAnsi="Calibri"/>
        <w:color w:val="000000"/>
        <w:sz w:val="16"/>
        <w:szCs w:val="16"/>
      </w:rPr>
      <w:t>Novembro</w:t>
    </w:r>
    <w:r w:rsidR="00BE52B0">
      <w:rPr>
        <w:rStyle w:val="Forte"/>
        <w:rFonts w:ascii="Calibri" w:hAnsi="Calibri"/>
        <w:color w:val="000000"/>
        <w:sz w:val="16"/>
        <w:szCs w:val="16"/>
      </w:rPr>
      <w:t xml:space="preserve"> de 2015</w:t>
    </w:r>
    <w:r w:rsidR="00AE52E7" w:rsidRPr="00AE52E7">
      <w:rPr>
        <w:noProof/>
        <w:sz w:val="6"/>
        <w:szCs w:val="6"/>
        <w:lang w:eastAsia="pt-BR"/>
      </w:rPr>
      <w:drawing>
        <wp:inline distT="0" distB="0" distL="0" distR="0" wp14:anchorId="123933EE" wp14:editId="3789E41D">
          <wp:extent cx="5400040" cy="17780"/>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linha.png"/>
                  <pic:cNvPicPr/>
                </pic:nvPicPr>
                <pic:blipFill>
                  <a:blip r:embed="rId2">
                    <a:extLst>
                      <a:ext uri="{28A0092B-C50C-407E-A947-70E740481C1C}">
                        <a14:useLocalDpi xmlns:a14="http://schemas.microsoft.com/office/drawing/2010/main" val="0"/>
                      </a:ext>
                    </a:extLst>
                  </a:blip>
                  <a:stretch>
                    <a:fillRect/>
                  </a:stretch>
                </pic:blipFill>
                <pic:spPr>
                  <a:xfrm>
                    <a:off x="0" y="0"/>
                    <a:ext cx="5400040" cy="17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E52E7"/>
    <w:rsid w:val="00043462"/>
    <w:rsid w:val="000B134F"/>
    <w:rsid w:val="000F2644"/>
    <w:rsid w:val="0022700B"/>
    <w:rsid w:val="00245BB1"/>
    <w:rsid w:val="00363D7D"/>
    <w:rsid w:val="003A0684"/>
    <w:rsid w:val="003E1BC5"/>
    <w:rsid w:val="003F1499"/>
    <w:rsid w:val="0040409D"/>
    <w:rsid w:val="00566F49"/>
    <w:rsid w:val="00574C22"/>
    <w:rsid w:val="006A7046"/>
    <w:rsid w:val="006D15B0"/>
    <w:rsid w:val="007C6D89"/>
    <w:rsid w:val="008A37D1"/>
    <w:rsid w:val="008C712C"/>
    <w:rsid w:val="00904D67"/>
    <w:rsid w:val="00A74937"/>
    <w:rsid w:val="00AE52E7"/>
    <w:rsid w:val="00B32D62"/>
    <w:rsid w:val="00B7076A"/>
    <w:rsid w:val="00B81A19"/>
    <w:rsid w:val="00BD171F"/>
    <w:rsid w:val="00BE52B0"/>
    <w:rsid w:val="00C0756A"/>
    <w:rsid w:val="00CE72D4"/>
    <w:rsid w:val="00CF68CD"/>
    <w:rsid w:val="00D912FB"/>
    <w:rsid w:val="00E00D14"/>
    <w:rsid w:val="00E67229"/>
    <w:rsid w:val="00F40968"/>
    <w:rsid w:val="00F57810"/>
    <w:rsid w:val="00F970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merodepgina">
    <w:name w:val="page number"/>
    <w:rsid w:val="00F97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spacing w:after="0" w:line="240" w:lineRule="auto"/>
    </w:p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992">
      <w:bodyDiv w:val="1"/>
      <w:marLeft w:val="0"/>
      <w:marRight w:val="0"/>
      <w:marTop w:val="0"/>
      <w:marBottom w:val="0"/>
      <w:divBdr>
        <w:top w:val="none" w:sz="0" w:space="0" w:color="auto"/>
        <w:left w:val="none" w:sz="0" w:space="0" w:color="auto"/>
        <w:bottom w:val="none" w:sz="0" w:space="0" w:color="auto"/>
        <w:right w:val="none" w:sz="0" w:space="0" w:color="auto"/>
      </w:divBdr>
    </w:div>
    <w:div w:id="48261750">
      <w:bodyDiv w:val="1"/>
      <w:marLeft w:val="0"/>
      <w:marRight w:val="0"/>
      <w:marTop w:val="0"/>
      <w:marBottom w:val="0"/>
      <w:divBdr>
        <w:top w:val="none" w:sz="0" w:space="0" w:color="auto"/>
        <w:left w:val="none" w:sz="0" w:space="0" w:color="auto"/>
        <w:bottom w:val="none" w:sz="0" w:space="0" w:color="auto"/>
        <w:right w:val="none" w:sz="0" w:space="0" w:color="auto"/>
      </w:divBdr>
    </w:div>
    <w:div w:id="1268848869">
      <w:bodyDiv w:val="1"/>
      <w:marLeft w:val="0"/>
      <w:marRight w:val="0"/>
      <w:marTop w:val="0"/>
      <w:marBottom w:val="0"/>
      <w:divBdr>
        <w:top w:val="none" w:sz="0" w:space="0" w:color="auto"/>
        <w:left w:val="none" w:sz="0" w:space="0" w:color="auto"/>
        <w:bottom w:val="none" w:sz="0" w:space="0" w:color="auto"/>
        <w:right w:val="none" w:sz="0" w:space="0" w:color="auto"/>
      </w:divBdr>
    </w:div>
    <w:div w:id="1354763630">
      <w:bodyDiv w:val="1"/>
      <w:marLeft w:val="0"/>
      <w:marRight w:val="0"/>
      <w:marTop w:val="0"/>
      <w:marBottom w:val="0"/>
      <w:divBdr>
        <w:top w:val="none" w:sz="0" w:space="0" w:color="auto"/>
        <w:left w:val="none" w:sz="0" w:space="0" w:color="auto"/>
        <w:bottom w:val="none" w:sz="0" w:space="0" w:color="auto"/>
        <w:right w:val="none" w:sz="0" w:space="0" w:color="auto"/>
      </w:divBdr>
    </w:div>
    <w:div w:id="1911572937">
      <w:bodyDiv w:val="1"/>
      <w:marLeft w:val="0"/>
      <w:marRight w:val="0"/>
      <w:marTop w:val="0"/>
      <w:marBottom w:val="0"/>
      <w:divBdr>
        <w:top w:val="none" w:sz="0" w:space="0" w:color="auto"/>
        <w:left w:val="none" w:sz="0" w:space="0" w:color="auto"/>
        <w:bottom w:val="none" w:sz="0" w:space="0" w:color="auto"/>
        <w:right w:val="none" w:sz="0" w:space="0" w:color="auto"/>
      </w:divBdr>
    </w:div>
    <w:div w:id="194222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Cristina</cp:lastModifiedBy>
  <cp:revision>3</cp:revision>
  <cp:lastPrinted>2014-10-14T12:46:00Z</cp:lastPrinted>
  <dcterms:created xsi:type="dcterms:W3CDTF">2015-11-27T18:46:00Z</dcterms:created>
  <dcterms:modified xsi:type="dcterms:W3CDTF">2015-11-27T18:47:00Z</dcterms:modified>
</cp:coreProperties>
</file>