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67" w:rsidRDefault="00BC3867" w:rsidP="00BC3867">
      <w:pPr>
        <w:jc w:val="both"/>
        <w:rPr>
          <w:rFonts w:asciiTheme="minorHAnsi" w:hAnsiTheme="minorHAnsi"/>
          <w:sz w:val="22"/>
          <w:szCs w:val="22"/>
        </w:rPr>
      </w:pPr>
    </w:p>
    <w:p w:rsidR="00C7273A" w:rsidRPr="00C7273A" w:rsidRDefault="00C7273A" w:rsidP="00C7273A">
      <w:pPr>
        <w:rPr>
          <w:rFonts w:asciiTheme="minorHAnsi" w:hAnsiTheme="minorHAnsi"/>
          <w:b/>
          <w:sz w:val="22"/>
          <w:szCs w:val="22"/>
        </w:rPr>
      </w:pPr>
      <w:r w:rsidRPr="00C7273A">
        <w:rPr>
          <w:rFonts w:asciiTheme="minorHAnsi" w:hAnsiTheme="minorHAnsi"/>
          <w:b/>
          <w:sz w:val="22"/>
          <w:szCs w:val="22"/>
        </w:rPr>
        <w:t xml:space="preserve">Lei nº 13.235, de </w:t>
      </w:r>
      <w:proofErr w:type="gramStart"/>
      <w:r w:rsidRPr="00C7273A">
        <w:rPr>
          <w:rFonts w:asciiTheme="minorHAnsi" w:hAnsiTheme="minorHAnsi"/>
          <w:b/>
          <w:sz w:val="22"/>
          <w:szCs w:val="22"/>
        </w:rPr>
        <w:t>29</w:t>
      </w:r>
      <w:r w:rsidRPr="00C7273A">
        <w:rPr>
          <w:rFonts w:asciiTheme="minorHAnsi" w:hAnsiTheme="minorHAnsi"/>
          <w:b/>
          <w:sz w:val="22"/>
          <w:szCs w:val="22"/>
        </w:rPr>
        <w:t>/12/</w:t>
      </w:r>
      <w:r w:rsidRPr="00C7273A">
        <w:rPr>
          <w:rFonts w:asciiTheme="minorHAnsi" w:hAnsiTheme="minorHAnsi"/>
          <w:b/>
          <w:sz w:val="22"/>
          <w:szCs w:val="22"/>
        </w:rPr>
        <w:t>2015</w:t>
      </w:r>
      <w:proofErr w:type="gramEnd"/>
    </w:p>
    <w:p w:rsidR="00C7273A" w:rsidRPr="00C7273A" w:rsidRDefault="00C7273A" w:rsidP="00C7273A">
      <w:pPr>
        <w:rPr>
          <w:rFonts w:asciiTheme="minorHAnsi" w:hAnsiTheme="minorHAnsi"/>
          <w:b/>
          <w:sz w:val="22"/>
          <w:szCs w:val="22"/>
        </w:rPr>
      </w:pPr>
      <w:r w:rsidRPr="00C7273A">
        <w:rPr>
          <w:rFonts w:asciiTheme="minorHAnsi" w:hAnsiTheme="minorHAnsi"/>
          <w:b/>
          <w:sz w:val="22"/>
          <w:szCs w:val="22"/>
        </w:rPr>
        <w:t>DOU 30/12/2015</w:t>
      </w:r>
    </w:p>
    <w:p w:rsidR="00C7273A" w:rsidRPr="00C7273A" w:rsidRDefault="00C7273A" w:rsidP="00C7273A">
      <w:pPr>
        <w:tabs>
          <w:tab w:val="left" w:pos="1245"/>
        </w:tabs>
        <w:rPr>
          <w:rFonts w:asciiTheme="minorHAnsi" w:hAnsiTheme="minorHAnsi"/>
          <w:sz w:val="22"/>
          <w:szCs w:val="22"/>
        </w:rPr>
      </w:pPr>
      <w:r w:rsidRPr="00C7273A">
        <w:rPr>
          <w:rFonts w:asciiTheme="minorHAnsi" w:hAnsiTheme="minorHAnsi"/>
          <w:sz w:val="22"/>
          <w:szCs w:val="22"/>
        </w:rPr>
        <w:tab/>
      </w:r>
    </w:p>
    <w:p w:rsidR="00C7273A" w:rsidRPr="00C7273A" w:rsidRDefault="00C7273A" w:rsidP="00C7273A">
      <w:pPr>
        <w:rPr>
          <w:rFonts w:asciiTheme="minorHAnsi" w:hAnsiTheme="minorHAnsi"/>
          <w:sz w:val="22"/>
          <w:szCs w:val="22"/>
        </w:rPr>
      </w:pPr>
      <w:r w:rsidRPr="00C7273A">
        <w:rPr>
          <w:rFonts w:asciiTheme="minorHAnsi" w:hAnsiTheme="minorHAnsi"/>
          <w:sz w:val="22"/>
          <w:szCs w:val="22"/>
        </w:rPr>
        <w:t>A</w:t>
      </w:r>
      <w:r w:rsidRPr="00C7273A">
        <w:rPr>
          <w:rFonts w:asciiTheme="minorHAnsi" w:hAnsiTheme="minorHAnsi"/>
          <w:sz w:val="22"/>
          <w:szCs w:val="22"/>
        </w:rPr>
        <w:t xml:space="preserve">ltera a Lei nº 6.360, de 23 de setembro de 1976, para equiparar o controle de qualidade de medicamentos similares ao de medicamentos genéricos. </w:t>
      </w:r>
    </w:p>
    <w:p w:rsidR="00C7273A" w:rsidRPr="00C7273A" w:rsidRDefault="00C7273A" w:rsidP="00C7273A">
      <w:pPr>
        <w:rPr>
          <w:rFonts w:asciiTheme="minorHAnsi" w:hAnsiTheme="minorHAnsi"/>
          <w:sz w:val="22"/>
          <w:szCs w:val="22"/>
        </w:rPr>
      </w:pPr>
    </w:p>
    <w:p w:rsidR="00C7273A" w:rsidRPr="00C7273A" w:rsidRDefault="00C7273A" w:rsidP="00C7273A">
      <w:pPr>
        <w:rPr>
          <w:rFonts w:asciiTheme="minorHAnsi" w:hAnsiTheme="minorHAnsi"/>
          <w:sz w:val="22"/>
          <w:szCs w:val="22"/>
        </w:rPr>
      </w:pPr>
      <w:r w:rsidRPr="00C7273A">
        <w:rPr>
          <w:rFonts w:asciiTheme="minorHAnsi" w:hAnsiTheme="minorHAnsi"/>
          <w:sz w:val="22"/>
          <w:szCs w:val="22"/>
        </w:rPr>
        <w:t>Assim, as alterações da Lei 6.360/76 seguem abaixo:</w:t>
      </w:r>
    </w:p>
    <w:p w:rsidR="00C7273A" w:rsidRPr="00C7273A" w:rsidRDefault="00C7273A" w:rsidP="00C7273A">
      <w:pPr>
        <w:rPr>
          <w:rFonts w:asciiTheme="minorHAnsi" w:hAnsiTheme="minorHAnsi"/>
          <w:sz w:val="22"/>
          <w:szCs w:val="22"/>
        </w:rPr>
      </w:pPr>
    </w:p>
    <w:p w:rsidR="00C7273A" w:rsidRPr="00C7273A" w:rsidRDefault="00C7273A" w:rsidP="00C7273A">
      <w:pPr>
        <w:rPr>
          <w:rFonts w:asciiTheme="minorHAnsi" w:hAnsiTheme="minorHAnsi"/>
          <w:i/>
          <w:iCs/>
          <w:sz w:val="22"/>
          <w:szCs w:val="22"/>
        </w:rPr>
      </w:pPr>
      <w:r w:rsidRPr="00C7273A">
        <w:rPr>
          <w:rFonts w:asciiTheme="minorHAnsi" w:hAnsiTheme="minorHAnsi"/>
          <w:i/>
          <w:iCs/>
          <w:sz w:val="22"/>
          <w:szCs w:val="22"/>
        </w:rPr>
        <w:t xml:space="preserve">"Art. </w:t>
      </w:r>
      <w:proofErr w:type="gramStart"/>
      <w:r w:rsidRPr="00C7273A">
        <w:rPr>
          <w:rFonts w:asciiTheme="minorHAnsi" w:hAnsiTheme="minorHAnsi"/>
          <w:i/>
          <w:iCs/>
          <w:sz w:val="22"/>
          <w:szCs w:val="22"/>
        </w:rPr>
        <w:t>3º ...</w:t>
      </w:r>
      <w:proofErr w:type="gramEnd"/>
      <w:r w:rsidRPr="00C7273A">
        <w:rPr>
          <w:rFonts w:asciiTheme="minorHAnsi" w:hAnsiTheme="minorHAnsi"/>
          <w:i/>
          <w:iCs/>
          <w:sz w:val="22"/>
          <w:szCs w:val="22"/>
        </w:rPr>
        <w:t xml:space="preserve">................................................................................. .......................................................................................................... </w:t>
      </w:r>
    </w:p>
    <w:p w:rsidR="00C7273A" w:rsidRPr="00C7273A" w:rsidRDefault="00C7273A" w:rsidP="00C7273A">
      <w:pPr>
        <w:rPr>
          <w:rFonts w:asciiTheme="minorHAnsi" w:hAnsiTheme="minorHAnsi"/>
          <w:i/>
          <w:iCs/>
          <w:sz w:val="22"/>
          <w:szCs w:val="22"/>
        </w:rPr>
      </w:pPr>
    </w:p>
    <w:p w:rsidR="00C7273A" w:rsidRPr="00C7273A" w:rsidRDefault="00C7273A" w:rsidP="00C7273A">
      <w:pPr>
        <w:rPr>
          <w:rFonts w:asciiTheme="minorHAnsi" w:hAnsiTheme="minorHAnsi"/>
          <w:i/>
          <w:iCs/>
          <w:sz w:val="22"/>
          <w:szCs w:val="22"/>
        </w:rPr>
      </w:pPr>
      <w:r w:rsidRPr="00C7273A">
        <w:rPr>
          <w:rFonts w:asciiTheme="minorHAnsi" w:hAnsiTheme="minorHAnsi"/>
          <w:i/>
          <w:iCs/>
          <w:sz w:val="22"/>
          <w:szCs w:val="22"/>
        </w:rPr>
        <w:t>XX - Medicamento Similar - aquele que contém o mesmo ou os mesmos princípios ativos, que apresenta a mesma concentração, forma farmacêutica, via de administração, posologia e indicação terapêutica e que é equivalente ao medicamento registrado no órgão federal responsável pela vigilância sanitária, podendo diferir somente em características relativas ao tamanho e forma do produto, prazo de validade, embalagem, rotulagem, excipientes e veículos, comprovada a sua eficácia, segurança e qualidade, devendo sempre ser identificado por nome comercial ou marca;</w:t>
      </w:r>
    </w:p>
    <w:p w:rsidR="00C7273A" w:rsidRPr="00C7273A" w:rsidRDefault="00C7273A" w:rsidP="00C7273A">
      <w:pPr>
        <w:rPr>
          <w:rFonts w:asciiTheme="minorHAnsi" w:hAnsiTheme="minorHAnsi"/>
          <w:i/>
          <w:iCs/>
          <w:sz w:val="22"/>
          <w:szCs w:val="22"/>
        </w:rPr>
      </w:pPr>
      <w:proofErr w:type="gramStart"/>
      <w:r w:rsidRPr="00C7273A">
        <w:rPr>
          <w:rFonts w:asciiTheme="minorHAnsi" w:hAnsiTheme="minorHAnsi"/>
          <w:i/>
          <w:iCs/>
          <w:sz w:val="22"/>
          <w:szCs w:val="22"/>
        </w:rPr>
        <w:t>...............................................................................................</w:t>
      </w:r>
      <w:proofErr w:type="gramEnd"/>
      <w:r w:rsidRPr="00C7273A">
        <w:rPr>
          <w:rFonts w:asciiTheme="minorHAnsi" w:hAnsiTheme="minorHAnsi"/>
          <w:i/>
          <w:iCs/>
          <w:sz w:val="22"/>
          <w:szCs w:val="22"/>
        </w:rPr>
        <w:t xml:space="preserve">" (NR) </w:t>
      </w:r>
    </w:p>
    <w:p w:rsidR="00C7273A" w:rsidRPr="00C7273A" w:rsidRDefault="00C7273A" w:rsidP="00C7273A">
      <w:pPr>
        <w:rPr>
          <w:rFonts w:asciiTheme="minorHAnsi" w:hAnsiTheme="minorHAnsi"/>
          <w:sz w:val="22"/>
          <w:szCs w:val="22"/>
        </w:rPr>
      </w:pPr>
    </w:p>
    <w:p w:rsidR="00C7273A" w:rsidRPr="00C7273A" w:rsidRDefault="00C7273A" w:rsidP="00C7273A">
      <w:pPr>
        <w:rPr>
          <w:rFonts w:asciiTheme="minorHAnsi" w:hAnsiTheme="minorHAnsi"/>
          <w:sz w:val="22"/>
          <w:szCs w:val="22"/>
        </w:rPr>
      </w:pPr>
    </w:p>
    <w:p w:rsidR="00C7273A" w:rsidRPr="00C7273A" w:rsidRDefault="00C7273A" w:rsidP="00C7273A">
      <w:pPr>
        <w:rPr>
          <w:rFonts w:asciiTheme="minorHAnsi" w:hAnsiTheme="minorHAnsi"/>
          <w:i/>
          <w:iCs/>
          <w:sz w:val="22"/>
          <w:szCs w:val="22"/>
        </w:rPr>
      </w:pPr>
      <w:r w:rsidRPr="00C7273A">
        <w:rPr>
          <w:rFonts w:asciiTheme="minorHAnsi" w:hAnsiTheme="minorHAnsi"/>
          <w:i/>
          <w:iCs/>
          <w:sz w:val="22"/>
          <w:szCs w:val="22"/>
        </w:rPr>
        <w:t>"Art. 21</w:t>
      </w:r>
      <w:proofErr w:type="gramStart"/>
      <w:r w:rsidRPr="00C7273A">
        <w:rPr>
          <w:rFonts w:asciiTheme="minorHAnsi" w:hAnsiTheme="minorHAnsi"/>
          <w:i/>
          <w:iCs/>
          <w:sz w:val="22"/>
          <w:szCs w:val="22"/>
        </w:rPr>
        <w:t>.....................................................................................</w:t>
      </w:r>
      <w:proofErr w:type="gramEnd"/>
      <w:r w:rsidRPr="00C7273A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C7273A" w:rsidRPr="00C7273A" w:rsidRDefault="00C7273A" w:rsidP="00C7273A">
      <w:pPr>
        <w:rPr>
          <w:rFonts w:asciiTheme="minorHAnsi" w:hAnsiTheme="minorHAnsi"/>
          <w:i/>
          <w:iCs/>
          <w:sz w:val="22"/>
          <w:szCs w:val="22"/>
        </w:rPr>
      </w:pPr>
    </w:p>
    <w:p w:rsidR="00C7273A" w:rsidRPr="00C7273A" w:rsidRDefault="00C7273A" w:rsidP="00C7273A">
      <w:pPr>
        <w:rPr>
          <w:rFonts w:asciiTheme="minorHAnsi" w:hAnsiTheme="minorHAnsi"/>
          <w:i/>
          <w:iCs/>
          <w:sz w:val="22"/>
          <w:szCs w:val="22"/>
        </w:rPr>
      </w:pPr>
      <w:r w:rsidRPr="00C7273A">
        <w:rPr>
          <w:rFonts w:asciiTheme="minorHAnsi" w:hAnsiTheme="minorHAnsi"/>
          <w:i/>
          <w:iCs/>
          <w:sz w:val="22"/>
          <w:szCs w:val="22"/>
        </w:rPr>
        <w:t xml:space="preserve">§ 1º O medicamento similar a ser fabricado no País será considerado registrado </w:t>
      </w:r>
      <w:proofErr w:type="gramStart"/>
      <w:r w:rsidRPr="00C7273A">
        <w:rPr>
          <w:rFonts w:asciiTheme="minorHAnsi" w:hAnsiTheme="minorHAnsi"/>
          <w:i/>
          <w:iCs/>
          <w:sz w:val="22"/>
          <w:szCs w:val="22"/>
        </w:rPr>
        <w:t>após</w:t>
      </w:r>
      <w:proofErr w:type="gramEnd"/>
      <w:r w:rsidRPr="00C7273A">
        <w:rPr>
          <w:rFonts w:asciiTheme="minorHAnsi" w:hAnsiTheme="minorHAnsi"/>
          <w:i/>
          <w:iCs/>
          <w:sz w:val="22"/>
          <w:szCs w:val="22"/>
        </w:rPr>
        <w:t xml:space="preserve"> decorrido o prazo de cento e vinte dias da apresentação do respectivo pedido de registro, se até então o pedido não tiver sido indeferido e desde que atendido o disposto no § 6º deste artigo. </w:t>
      </w:r>
    </w:p>
    <w:p w:rsidR="00C7273A" w:rsidRPr="00C7273A" w:rsidRDefault="00C7273A" w:rsidP="00C7273A">
      <w:pPr>
        <w:rPr>
          <w:rFonts w:asciiTheme="minorHAnsi" w:hAnsiTheme="minorHAnsi"/>
          <w:i/>
          <w:iCs/>
          <w:sz w:val="22"/>
          <w:szCs w:val="22"/>
        </w:rPr>
      </w:pPr>
    </w:p>
    <w:p w:rsidR="00C7273A" w:rsidRPr="00C7273A" w:rsidRDefault="00C7273A" w:rsidP="00C7273A">
      <w:pPr>
        <w:rPr>
          <w:rFonts w:asciiTheme="minorHAnsi" w:hAnsiTheme="minorHAnsi"/>
          <w:i/>
          <w:iCs/>
          <w:sz w:val="22"/>
          <w:szCs w:val="22"/>
        </w:rPr>
      </w:pPr>
      <w:proofErr w:type="gramStart"/>
      <w:r w:rsidRPr="00C7273A">
        <w:rPr>
          <w:rFonts w:asciiTheme="minorHAnsi" w:hAnsiTheme="minorHAnsi"/>
          <w:i/>
          <w:iCs/>
          <w:sz w:val="22"/>
          <w:szCs w:val="22"/>
        </w:rPr>
        <w:t>.........................................................................................................</w:t>
      </w:r>
      <w:proofErr w:type="gramEnd"/>
      <w:r w:rsidRPr="00C7273A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C7273A" w:rsidRPr="00C7273A" w:rsidRDefault="00C7273A" w:rsidP="00C7273A">
      <w:pPr>
        <w:rPr>
          <w:rFonts w:asciiTheme="minorHAnsi" w:hAnsiTheme="minorHAnsi"/>
          <w:i/>
          <w:iCs/>
          <w:sz w:val="22"/>
          <w:szCs w:val="22"/>
        </w:rPr>
      </w:pPr>
    </w:p>
    <w:p w:rsidR="00C7273A" w:rsidRPr="00C7273A" w:rsidRDefault="00C7273A" w:rsidP="00C7273A">
      <w:pPr>
        <w:rPr>
          <w:rFonts w:asciiTheme="minorHAnsi" w:hAnsiTheme="minorHAnsi"/>
          <w:i/>
          <w:iCs/>
          <w:sz w:val="22"/>
          <w:szCs w:val="22"/>
        </w:rPr>
      </w:pPr>
      <w:r w:rsidRPr="00C7273A">
        <w:rPr>
          <w:rFonts w:asciiTheme="minorHAnsi" w:hAnsiTheme="minorHAnsi"/>
          <w:i/>
          <w:iCs/>
          <w:sz w:val="22"/>
          <w:szCs w:val="22"/>
        </w:rPr>
        <w:t xml:space="preserve">§ </w:t>
      </w:r>
      <w:proofErr w:type="gramStart"/>
      <w:r w:rsidRPr="00C7273A">
        <w:rPr>
          <w:rFonts w:asciiTheme="minorHAnsi" w:hAnsiTheme="minorHAnsi"/>
          <w:i/>
          <w:iCs/>
          <w:sz w:val="22"/>
          <w:szCs w:val="22"/>
        </w:rPr>
        <w:t>6º O medicamento similar, fabricado ou não no País, deverá ter a sua eficácia, segurança e qualidade comprovadas de forma equivalente à adotada para o medicamento genérico."</w:t>
      </w:r>
      <w:proofErr w:type="gramEnd"/>
      <w:r w:rsidRPr="00C7273A">
        <w:rPr>
          <w:rFonts w:asciiTheme="minorHAnsi" w:hAnsiTheme="minorHAnsi"/>
          <w:i/>
          <w:iCs/>
          <w:sz w:val="22"/>
          <w:szCs w:val="22"/>
        </w:rPr>
        <w:t xml:space="preserve"> (NR) </w:t>
      </w:r>
    </w:p>
    <w:p w:rsidR="00C7273A" w:rsidRPr="00C7273A" w:rsidRDefault="00C7273A" w:rsidP="00C7273A">
      <w:pPr>
        <w:rPr>
          <w:rFonts w:asciiTheme="minorHAnsi" w:hAnsiTheme="minorHAnsi"/>
          <w:sz w:val="22"/>
          <w:szCs w:val="22"/>
        </w:rPr>
      </w:pPr>
    </w:p>
    <w:p w:rsidR="00C7273A" w:rsidRPr="00C7273A" w:rsidRDefault="00C7273A" w:rsidP="00C7273A">
      <w:pPr>
        <w:rPr>
          <w:rFonts w:asciiTheme="minorHAnsi" w:hAnsiTheme="minorHAnsi"/>
          <w:sz w:val="22"/>
          <w:szCs w:val="22"/>
        </w:rPr>
      </w:pPr>
    </w:p>
    <w:p w:rsidR="00C7273A" w:rsidRPr="00C7273A" w:rsidRDefault="00C7273A" w:rsidP="00C7273A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C7273A">
        <w:rPr>
          <w:rFonts w:asciiTheme="minorHAnsi" w:hAnsiTheme="minorHAnsi"/>
          <w:b/>
          <w:bCs/>
          <w:sz w:val="22"/>
          <w:szCs w:val="22"/>
          <w:u w:val="single"/>
        </w:rPr>
        <w:t>ATENÇÃO: Esta Lei entra em vigor após decorridos cento e oitenta dias a partir d</w:t>
      </w:r>
      <w:r>
        <w:rPr>
          <w:rFonts w:asciiTheme="minorHAnsi" w:hAnsiTheme="minorHAnsi"/>
          <w:b/>
          <w:bCs/>
          <w:sz w:val="22"/>
          <w:szCs w:val="22"/>
          <w:u w:val="single"/>
        </w:rPr>
        <w:t>a data de publicação.</w:t>
      </w:r>
      <w:bookmarkStart w:id="0" w:name="_GoBack"/>
      <w:bookmarkEnd w:id="0"/>
      <w:r w:rsidRPr="00C7273A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</w:p>
    <w:p w:rsidR="00C7273A" w:rsidRPr="00C7273A" w:rsidRDefault="00C7273A" w:rsidP="00BC3867">
      <w:pPr>
        <w:jc w:val="both"/>
        <w:rPr>
          <w:rFonts w:asciiTheme="minorHAnsi" w:hAnsiTheme="minorHAnsi"/>
          <w:sz w:val="22"/>
          <w:szCs w:val="22"/>
        </w:rPr>
      </w:pPr>
    </w:p>
    <w:sectPr w:rsidR="00C7273A" w:rsidRPr="00C7273A" w:rsidSect="00AE52E7">
      <w:headerReference w:type="default" r:id="rId8"/>
      <w:footerReference w:type="default" r:id="rId9"/>
      <w:pgSz w:w="11906" w:h="16838" w:code="9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2E7" w:rsidRDefault="00AE52E7" w:rsidP="00AE52E7">
      <w:r>
        <w:separator/>
      </w:r>
    </w:p>
  </w:endnote>
  <w:endnote w:type="continuationSeparator" w:id="0">
    <w:p w:rsidR="00AE52E7" w:rsidRDefault="00AE52E7" w:rsidP="00AE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E7" w:rsidRDefault="00AE52E7">
    <w:pPr>
      <w:pStyle w:val="Rodap"/>
    </w:pPr>
    <w:r>
      <w:rPr>
        <w:noProof/>
        <w:lang w:eastAsia="pt-BR"/>
      </w:rPr>
      <w:drawing>
        <wp:inline distT="0" distB="0" distL="0" distR="0" wp14:anchorId="57DA9DCB" wp14:editId="78E45241">
          <wp:extent cx="5400040" cy="412115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52E7" w:rsidRPr="00AE52E7" w:rsidRDefault="00AE52E7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 w:rsidR="00043462">
      <w:rPr>
        <w:rFonts w:ascii="Calibri" w:eastAsia="Times New Roman" w:hAnsi="Calibri"/>
        <w:b/>
        <w:bCs/>
        <w:color w:val="000000"/>
        <w:sz w:val="16"/>
        <w:szCs w:val="16"/>
      </w:rPr>
      <w:t>ável: Rosana Maste</w:t>
    </w:r>
    <w:r w:rsidR="003A0684">
      <w:rPr>
        <w:rFonts w:ascii="Calibri" w:eastAsia="Times New Roman" w:hAnsi="Calibri"/>
        <w:b/>
        <w:bCs/>
        <w:color w:val="000000"/>
        <w:sz w:val="16"/>
        <w:szCs w:val="16"/>
      </w:rPr>
      <w:t>l</w:t>
    </w:r>
    <w:r w:rsidR="00043462">
      <w:rPr>
        <w:rFonts w:ascii="Calibri" w:eastAsia="Times New Roman" w:hAnsi="Calibri"/>
        <w:b/>
        <w:bCs/>
        <w:color w:val="000000"/>
        <w:sz w:val="16"/>
        <w:szCs w:val="16"/>
      </w:rPr>
      <w:t>laro-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AE52E7" w:rsidRPr="00AE52E7" w:rsidRDefault="00AE52E7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AE52E7" w:rsidRDefault="00AE52E7">
    <w:pPr>
      <w:pStyle w:val="Rodap"/>
    </w:pPr>
  </w:p>
  <w:p w:rsidR="00AE52E7" w:rsidRDefault="00AE52E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2E7" w:rsidRDefault="00AE52E7" w:rsidP="00AE52E7">
      <w:r>
        <w:separator/>
      </w:r>
    </w:p>
  </w:footnote>
  <w:footnote w:type="continuationSeparator" w:id="0">
    <w:p w:rsidR="00AE52E7" w:rsidRDefault="00AE52E7" w:rsidP="00AE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E7" w:rsidRDefault="00AE52E7">
    <w:pPr>
      <w:pStyle w:val="Cabealho"/>
    </w:pPr>
    <w:r>
      <w:rPr>
        <w:noProof/>
        <w:lang w:eastAsia="pt-BR"/>
      </w:rPr>
      <w:drawing>
        <wp:inline distT="0" distB="0" distL="0" distR="0" wp14:anchorId="527A3FB3" wp14:editId="36EA96D6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52E7" w:rsidRPr="00AE52E7" w:rsidRDefault="00B81A19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>Edição nº 1</w:t>
    </w:r>
    <w:r w:rsidR="00C7273A">
      <w:rPr>
        <w:rStyle w:val="Forte"/>
        <w:rFonts w:ascii="Calibri" w:hAnsi="Calibri"/>
        <w:color w:val="000000"/>
        <w:sz w:val="16"/>
        <w:szCs w:val="16"/>
      </w:rPr>
      <w:t>83</w:t>
    </w:r>
    <w:r w:rsidR="00BC3867">
      <w:rPr>
        <w:rStyle w:val="Forte"/>
        <w:rFonts w:ascii="Calibri" w:hAnsi="Calibri"/>
        <w:color w:val="000000"/>
        <w:sz w:val="16"/>
        <w:szCs w:val="16"/>
      </w:rPr>
      <w:t xml:space="preserve">/2015| </w:t>
    </w:r>
    <w:r w:rsidR="00E00D14">
      <w:rPr>
        <w:rStyle w:val="Forte"/>
        <w:rFonts w:ascii="Calibri" w:hAnsi="Calibri"/>
        <w:color w:val="000000"/>
        <w:sz w:val="16"/>
        <w:szCs w:val="16"/>
      </w:rPr>
      <w:t>São Paulo,</w:t>
    </w:r>
    <w:r w:rsidR="00BC3867">
      <w:rPr>
        <w:rStyle w:val="Forte"/>
        <w:rFonts w:ascii="Calibri" w:hAnsi="Calibri"/>
        <w:color w:val="000000"/>
        <w:sz w:val="16"/>
        <w:szCs w:val="16"/>
      </w:rPr>
      <w:t xml:space="preserve"> </w:t>
    </w:r>
    <w:r w:rsidR="00C7273A">
      <w:rPr>
        <w:rStyle w:val="Forte"/>
        <w:rFonts w:ascii="Calibri" w:hAnsi="Calibri"/>
        <w:color w:val="000000"/>
        <w:sz w:val="16"/>
        <w:szCs w:val="16"/>
      </w:rPr>
      <w:t>30</w:t>
    </w:r>
    <w:r w:rsidR="0068403F">
      <w:rPr>
        <w:rStyle w:val="Forte"/>
        <w:rFonts w:ascii="Calibri" w:hAnsi="Calibri"/>
        <w:color w:val="000000"/>
        <w:sz w:val="16"/>
        <w:szCs w:val="16"/>
      </w:rPr>
      <w:t xml:space="preserve"> de Dezembro</w:t>
    </w:r>
    <w:r w:rsidR="00BE52B0">
      <w:rPr>
        <w:rStyle w:val="Forte"/>
        <w:rFonts w:ascii="Calibri" w:hAnsi="Calibri"/>
        <w:color w:val="000000"/>
        <w:sz w:val="16"/>
        <w:szCs w:val="16"/>
      </w:rPr>
      <w:t xml:space="preserve"> de 2015</w:t>
    </w:r>
    <w:r w:rsidR="00AE52E7" w:rsidRPr="00AE52E7">
      <w:rPr>
        <w:noProof/>
        <w:sz w:val="6"/>
        <w:szCs w:val="6"/>
        <w:lang w:eastAsia="pt-BR"/>
      </w:rPr>
      <w:drawing>
        <wp:inline distT="0" distB="0" distL="0" distR="0" wp14:anchorId="60A95D4B" wp14:editId="5C6CE002">
          <wp:extent cx="5400040" cy="17780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36995"/>
    <w:multiLevelType w:val="hybridMultilevel"/>
    <w:tmpl w:val="3418E692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2E7"/>
    <w:rsid w:val="00043462"/>
    <w:rsid w:val="000B134F"/>
    <w:rsid w:val="000F2644"/>
    <w:rsid w:val="001F1E84"/>
    <w:rsid w:val="0022700B"/>
    <w:rsid w:val="00245BB1"/>
    <w:rsid w:val="00363D7D"/>
    <w:rsid w:val="003A0684"/>
    <w:rsid w:val="003E1BC5"/>
    <w:rsid w:val="003F1499"/>
    <w:rsid w:val="0040409D"/>
    <w:rsid w:val="00430860"/>
    <w:rsid w:val="00467B63"/>
    <w:rsid w:val="00550C0D"/>
    <w:rsid w:val="00566F49"/>
    <w:rsid w:val="00574C22"/>
    <w:rsid w:val="006734F0"/>
    <w:rsid w:val="0068403F"/>
    <w:rsid w:val="006A7046"/>
    <w:rsid w:val="006D15B0"/>
    <w:rsid w:val="007A0AF7"/>
    <w:rsid w:val="007C6D89"/>
    <w:rsid w:val="008A37D1"/>
    <w:rsid w:val="008C712C"/>
    <w:rsid w:val="008F34AE"/>
    <w:rsid w:val="00904D67"/>
    <w:rsid w:val="009F5D2D"/>
    <w:rsid w:val="00A74937"/>
    <w:rsid w:val="00AE0920"/>
    <w:rsid w:val="00AE52E7"/>
    <w:rsid w:val="00B32D62"/>
    <w:rsid w:val="00B562A8"/>
    <w:rsid w:val="00B7076A"/>
    <w:rsid w:val="00B81A19"/>
    <w:rsid w:val="00BC0E1A"/>
    <w:rsid w:val="00BC3867"/>
    <w:rsid w:val="00BD171F"/>
    <w:rsid w:val="00BE52B0"/>
    <w:rsid w:val="00C0756A"/>
    <w:rsid w:val="00C15D79"/>
    <w:rsid w:val="00C7273A"/>
    <w:rsid w:val="00CE72D4"/>
    <w:rsid w:val="00CF68CD"/>
    <w:rsid w:val="00D912FB"/>
    <w:rsid w:val="00DB6167"/>
    <w:rsid w:val="00DF127E"/>
    <w:rsid w:val="00E00D14"/>
    <w:rsid w:val="00E67229"/>
    <w:rsid w:val="00F40968"/>
    <w:rsid w:val="00F57810"/>
    <w:rsid w:val="00F97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merodepgina">
    <w:name w:val="page number"/>
    <w:rsid w:val="00F9704E"/>
  </w:style>
  <w:style w:type="paragraph" w:styleId="PargrafodaLista">
    <w:name w:val="List Paragraph"/>
    <w:basedOn w:val="Normal"/>
    <w:uiPriority w:val="34"/>
    <w:qFormat/>
    <w:rsid w:val="00DF1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3</cp:revision>
  <cp:lastPrinted>2014-10-14T12:46:00Z</cp:lastPrinted>
  <dcterms:created xsi:type="dcterms:W3CDTF">2016-01-04T13:17:00Z</dcterms:created>
  <dcterms:modified xsi:type="dcterms:W3CDTF">2016-01-04T13:18:00Z</dcterms:modified>
</cp:coreProperties>
</file>