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0" w:rsidRPr="00BF1CEF" w:rsidRDefault="00A17E80" w:rsidP="00125F76">
      <w:pPr>
        <w:pStyle w:val="Corpodetexto3"/>
        <w:framePr w:w="2119" w:h="12595" w:wrap="around" w:hAnchor="page" w:x="985" w:y="463" w:anchorLock="1"/>
        <w:ind w:right="-180"/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</w:pPr>
      <w:r w:rsidRPr="00BF1CEF"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  <w:t>NESTA SEÇÃO</w:t>
      </w:r>
    </w:p>
    <w:p w:rsidR="00A17E80" w:rsidRPr="00BF1CEF" w:rsidRDefault="00A17E80" w:rsidP="00125F76">
      <w:pPr>
        <w:framePr w:w="2119" w:h="12595" w:hSpace="567" w:wrap="around" w:vAnchor="text" w:hAnchor="page" w:x="985" w:y="463" w:anchorLock="1"/>
        <w:pBdr>
          <w:right w:val="single" w:sz="6" w:space="0" w:color="000000"/>
        </w:pBdr>
        <w:shd w:val="solid" w:color="FFFFFF" w:fill="FFFFFF"/>
        <w:ind w:left="1416" w:right="-180"/>
        <w:jc w:val="both"/>
        <w:rPr>
          <w:rFonts w:ascii="Bookman Old Style" w:hAnsi="Bookman Old Style" w:cs="Tahoma"/>
          <w:bCs/>
          <w:color w:val="000099"/>
        </w:rPr>
      </w:pPr>
    </w:p>
    <w:p w:rsidR="00F72678" w:rsidRPr="00BF1CEF" w:rsidRDefault="004D7034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 xml:space="preserve">Boletim nº </w:t>
      </w:r>
      <w:r w:rsidR="008F06DB">
        <w:rPr>
          <w:rFonts w:cs="Tahoma"/>
          <w:bCs w:val="0"/>
          <w:color w:val="000099"/>
          <w:sz w:val="12"/>
          <w:szCs w:val="12"/>
        </w:rPr>
        <w:t>141.14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Resp</w:t>
      </w:r>
      <w:proofErr w:type="spellEnd"/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.: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Drª</w:t>
      </w:r>
      <w:proofErr w:type="spell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Rosana M. Mastelaro"/>
        </w:smartTagP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Rosana</w:t>
        </w:r>
        <w:r w:rsidRPr="00BF1CEF">
          <w:rPr>
            <w:rFonts w:cs="Tahoma"/>
            <w:bCs w:val="0"/>
            <w:color w:val="000099"/>
            <w:sz w:val="12"/>
            <w:szCs w:val="12"/>
          </w:rPr>
          <w:t xml:space="preserve"> </w:t>
        </w: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M. Mastelaro</w:t>
        </w:r>
      </w:smartTag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>Fone: (11) 3897-9772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e-mail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: </w:t>
      </w:r>
      <w:r w:rsidR="00057524" w:rsidRPr="00BF1CEF">
        <w:rPr>
          <w:rFonts w:cs="Tahoma"/>
          <w:bCs w:val="0"/>
          <w:color w:val="000099"/>
          <w:sz w:val="12"/>
          <w:szCs w:val="12"/>
        </w:rPr>
        <w:t>rosana</w:t>
      </w:r>
      <w:r w:rsidRPr="00BF1CEF">
        <w:rPr>
          <w:rFonts w:cs="Tahoma"/>
          <w:bCs w:val="0"/>
          <w:color w:val="000099"/>
          <w:sz w:val="12"/>
          <w:szCs w:val="12"/>
        </w:rPr>
        <w:t>@sindusfarma.org.br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 w:cs="Tahoma"/>
          <w:bCs w:val="0"/>
          <w:color w:val="000099"/>
          <w:sz w:val="16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796BCC" w:rsidRPr="00BF1CEF" w:rsidRDefault="00796BCC" w:rsidP="00D12945">
      <w:pPr>
        <w:jc w:val="center"/>
        <w:rPr>
          <w:b/>
          <w:color w:val="000099"/>
        </w:rPr>
      </w:pPr>
    </w:p>
    <w:p w:rsidR="00BF1CEF" w:rsidRDefault="00BF1CEF" w:rsidP="00BF1CEF">
      <w:pPr>
        <w:autoSpaceDE w:val="0"/>
        <w:autoSpaceDN w:val="0"/>
        <w:adjustRightInd w:val="0"/>
        <w:rPr>
          <w:rFonts w:ascii="Verdana" w:hAnsi="Verdana"/>
          <w:b/>
          <w:bCs/>
          <w:color w:val="000099"/>
          <w:sz w:val="18"/>
          <w:szCs w:val="18"/>
        </w:rPr>
      </w:pPr>
      <w:r w:rsidRPr="00BF1CEF">
        <w:rPr>
          <w:rFonts w:ascii="Verdana" w:hAnsi="Verdana"/>
          <w:b/>
          <w:bCs/>
          <w:color w:val="000099"/>
          <w:sz w:val="18"/>
          <w:szCs w:val="18"/>
        </w:rPr>
        <w:t xml:space="preserve">                      </w:t>
      </w:r>
      <w:r>
        <w:rPr>
          <w:rFonts w:ascii="Verdana" w:hAnsi="Verdana"/>
          <w:b/>
          <w:bCs/>
          <w:color w:val="000099"/>
          <w:sz w:val="18"/>
          <w:szCs w:val="18"/>
        </w:rPr>
        <w:t xml:space="preserve">             </w:t>
      </w:r>
    </w:p>
    <w:p w:rsidR="00E30BF0" w:rsidRDefault="00E30BF0" w:rsidP="00771935">
      <w:pPr>
        <w:autoSpaceDE w:val="0"/>
        <w:autoSpaceDN w:val="0"/>
        <w:adjustRightInd w:val="0"/>
        <w:jc w:val="both"/>
        <w:rPr>
          <w:rFonts w:ascii="Verdana" w:hAnsi="Verdana" w:cs="TTE1754F20t00"/>
          <w:b/>
          <w:color w:val="000099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  <w:r w:rsidRPr="00986F5D">
        <w:rPr>
          <w:rFonts w:ascii="Verdana" w:hAnsi="Verdana"/>
          <w:b/>
          <w:bCs/>
          <w:color w:val="1F497D" w:themeColor="text2"/>
          <w:sz w:val="18"/>
          <w:szCs w:val="18"/>
        </w:rPr>
        <w:t>I</w:t>
      </w:r>
      <w:r>
        <w:rPr>
          <w:rFonts w:ascii="Verdana" w:hAnsi="Verdana"/>
          <w:b/>
          <w:bCs/>
          <w:color w:val="1F497D" w:themeColor="text2"/>
          <w:sz w:val="18"/>
          <w:szCs w:val="18"/>
        </w:rPr>
        <w:t>nstrução Normativa n</w:t>
      </w:r>
      <w:r w:rsidRPr="00986F5D">
        <w:rPr>
          <w:rFonts w:ascii="Verdana" w:hAnsi="Verdana"/>
          <w:b/>
          <w:bCs/>
          <w:color w:val="1F497D" w:themeColor="text2"/>
          <w:sz w:val="18"/>
          <w:szCs w:val="18"/>
        </w:rPr>
        <w:t xml:space="preserve">º 6, </w:t>
      </w:r>
      <w:r>
        <w:rPr>
          <w:rFonts w:ascii="Verdana" w:hAnsi="Verdana"/>
          <w:b/>
          <w:bCs/>
          <w:color w:val="1F497D" w:themeColor="text2"/>
          <w:sz w:val="18"/>
          <w:szCs w:val="18"/>
        </w:rPr>
        <w:t xml:space="preserve">de </w:t>
      </w:r>
      <w:proofErr w:type="gramStart"/>
      <w:r>
        <w:rPr>
          <w:rFonts w:ascii="Verdana" w:hAnsi="Verdana"/>
          <w:b/>
          <w:bCs/>
          <w:color w:val="1F497D" w:themeColor="text2"/>
          <w:sz w:val="18"/>
          <w:szCs w:val="18"/>
        </w:rPr>
        <w:t>18/08/</w:t>
      </w:r>
      <w:r w:rsidRPr="00986F5D">
        <w:rPr>
          <w:rFonts w:ascii="Verdana" w:hAnsi="Verdana"/>
          <w:b/>
          <w:bCs/>
          <w:color w:val="1F497D" w:themeColor="text2"/>
          <w:sz w:val="18"/>
          <w:szCs w:val="18"/>
        </w:rPr>
        <w:t>2014</w:t>
      </w:r>
      <w:proofErr w:type="gramEnd"/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  <w:r>
        <w:rPr>
          <w:rFonts w:ascii="Verdana" w:hAnsi="Verdana"/>
          <w:b/>
          <w:bCs/>
          <w:color w:val="1F497D" w:themeColor="text2"/>
          <w:sz w:val="18"/>
          <w:szCs w:val="18"/>
        </w:rPr>
        <w:t>DOU 19/08/2014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Dispõe sobre a especificação da interface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entre os detentores de registro de medicamentos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 a Agência Nacional de Vigilância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Sanitária -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para a operacionalização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do Sistema Nacional de Controle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Medicamentos (SNCM), e dá outras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providências.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 Diretoria Colegiada da Agência Nacional de Vigilância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Sanitária, no uso das atribuições que lhe conferem os incisos III e IV,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do art. 15 da Lei n.º 9.782, de 26 de janeiro de 1999, tendo em vista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o disposto no inciso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VI nos</w:t>
      </w:r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§§ 1º e 3º do art. 5º do Regimento Interno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aprovado nos termos do Anexo I da Portaria nº 650, de 29 de maio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2014, publicada no DOU de 02 de junho de 2014, e suas atualizações,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nos incisos III do art. 2º, III e IV, do art. 7º da Lei nº 9.782, de 1999,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 o Programa de Melhoria do Processo de Regulamentação da Agência,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instituído por meio da Portaria nº 422, de 16 de abril de 2008,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bem como considerando o disposto na Lei nº 11.903, de 14 de janeiro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2009, e na Resolução da Diretoria Colegiada - RDC nº 54, de 10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dezembro de 2013, em reunião realizada em 15 de agosto de 2014,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resolve</w:t>
      </w:r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>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CAPÍTULO I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OBJETIVO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1º Fica estabelecida a especificação da interface entre 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detentores de registro de medicamentos e a Agência Nacional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Vigilância Sanitária -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para a operacionalização do Sistema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Nacional de Controle de Medicamentos (SNCM).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1º A especificação estabelecida por esta Instrução Normativa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se aplica à descrição de: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 - eventos de movimentação de registro obrigatório no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SNCM;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 - dados a serem disponibilizados à ANVISA pelo detentor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do registro do medicamento;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e</w:t>
      </w:r>
      <w:proofErr w:type="gramEnd"/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III - eventos de comunicação entre os participantes da cadeia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medicamentos para garantir o rastreamento do medicamento no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âmbito do SNCM.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2º O estabelecimento de requisitos mínimos por esta Instrução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Normativa não impede o registro de dados adicionais por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qualquer dos elos da cadeia de produtos farmacêuticos, respeitadas as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disposições legais e regulamentares especiais eventualmente aplicáveis.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3º Eventos e dados que não sejam exigidos por esta Instrução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Normativa e por instruções normativas suplementares não serão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objeto de comunicação obrigatória entre o detentor de registro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medicamento e 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por meio do protocolo de comunicação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remota do SNCM.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4º É de responsabilidade do detentor de registro o monitoramento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da movimentação dos seus produtos.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lastRenderedPageBreak/>
        <w:t>CAPÍTULO II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DEFINIÇÕES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2º Para efeito desta Instrução Normativa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, são</w:t>
      </w:r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adotadas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as seguintes definições: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 - elo da cadeia de produtos farmacêuticos: prestador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serviço responsável pelo fluxo e armazenamento de informações 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que mantém sob sua custódia, em determinado período, medicamentos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sujeitos ao Sistema Nacional de Controle de Medicamentos, em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observância ao disposto na RDC nº 54/2013;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 - eventos de movimentação: eventos em que ocorre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surgimento de medicamento, a passagem de medicamento entre elos,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ou a extinção de medicamento na cadeia de produtos farmacêuticos;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III - eventos de comunicação: eventos em que ocorre declaração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eventos a outros elos da cadeia.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CAPÍTULO III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TIPOS DE EVENTOS DE INTERESSE DO SISTEMA NACIONAL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CONTROLE DE MEDICAMENTOS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3º Deverão ser registrados no SNCM pelos elos da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cadeia de produtos farmacêuticos: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 - evento de embalagem de transporte: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a) agregação; e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b) verificação de conteúdo.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 - recebimento: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a) compra;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b) recebimento em transferência;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c) recebimento em doação;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d) recebimento em devolução;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e) recebimento em recolhimento;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e</w:t>
      </w:r>
      <w:proofErr w:type="gramEnd"/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f) recebimento de amostra grátis.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III - entrega: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a) venda;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b) entrega em transferência;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c) entrega em doação;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d) entrega em devolução;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e) entrega em recolhimento;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e</w:t>
      </w:r>
      <w:proofErr w:type="gramEnd"/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f) entrega de amostra grátis.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IV - produção;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V - importação;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VI - finalização: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a)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b) baixa;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c) extravio;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d) perda; e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e) descarte.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VII - recuperação;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VIII - retificação: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a) declaração de invalidade de evento;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e</w:t>
      </w:r>
      <w:proofErr w:type="gramEnd"/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b) substituição de evento.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lastRenderedPageBreak/>
        <w:t>IX - declaração de eventos: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a) transmissão de declaração de eventos;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e</w:t>
      </w:r>
      <w:proofErr w:type="gramEnd"/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b) recepção de declaração de eventos.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CAPÍTULO IV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COMUNICAÇÕES ENTRE ELOS DA CADEIA DE PRODUTOS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FARMACÊUTICOS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4º Os eventos ocorridos ao longo da cadeia de medicamentos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deverão ser transmitidos em tempo real ao detentor do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registro do produto e ao elo precedente da cadeia no momento em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que forem registrados no banco de dados pelo responsável, conforme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 disposto nos artigos 16, 17 e 18 da RDC nº 54/2013.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1º A transmissão da declaração de eventos deverá assegurar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ao detentor de registro o acesso, a qualquer momento, dos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dados de todo evento já declarado, inclusive em eventuais circunstâncias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posteriores de problemas temporários de conectividade entre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detentor de registro e o elo.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2º Os eventos de saída de medicamentos, como devolução,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transferência e recolhimento, deverão ser transmitidos pela unidade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de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ao elo anterior na cadeia, bem como ao detentor do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registro, nos casos em que ocorra movimentação de medicamento 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outro elo.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§ 3º A unidade de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deverá transmitir ao respectivo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elo anterior e ao detentor do registro a declaração do evento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perda ou extravio do medicamento, caso ocorra.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5º Todo elo deverá transmitir ao respectivo elo anterior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 ao detentor de registro a declaração de todos os eventos que recepcionar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do respectivo elo posterior.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6º O elo remetente deverá transmitir ao elo receptor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declaração de conteúdo de cada uma das embalagens de transporte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remetidas.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1º Excepcionalmente, é facultado ao elo receptor registrar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 entrada de embalagens de transporte antes de ter recepcionado 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declaração de conteúdo do elo remetente.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2º Eventuais divergências entre o conteúdo declarado e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real da embalagem de transporte devem ser transmitidas ao elo remetente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 ao detentor de registro.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CAPÍTULO V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RETENÇÃO E ALTERAÇÃO DE DADOS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7º Os registros dos dados dos eventos em banco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dados devem permanecer armazenados e à disposição das autoridades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sanitárias pelo período de um ano após a expiração do prazo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validade do medicamento.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1º Durante o período de retenção dos registros de que trata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 caput, os dados devem estar prontamente disponíveis, conforme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disposto no artigo 15 da RDC 54/2013 e no § 7º do artigo 205 da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RDC 17/2010.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2º Durante o período de retenção desses registros, deverá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ser assegurado o suporte ao rastreamento dos eventos que forem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comunicados pelos elos posteriores.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3º Circunstâncias de indisponibilidade temporária ou permanente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dados, inclusive por caso fortuito ou força maior, deverão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ser prontamente notificadas à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>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8º Todos os elos deverão manter a fidelidade das informações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históricas de eventos registradas no SNCM, sendo para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isso vedado atualizar ou remover quaisquer informações de interesse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do SNCM do banco de dados que sejam consultáveis, remota ou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localmente, pela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ou demais autoridades sanitárias.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lastRenderedPageBreak/>
        <w:t>§ 1º Qualquer atualização ou remoção de registros anteriores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será interpretada como adulteração e considerada infração de natureza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sanitária.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2º A vedação à remoção de informações se aplica por todo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 período obrigatório de retenção de dados.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3º Após o período obrigatório de retenção de dados, 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registros deverão permanecer imutáveis, ou poderão ser removidos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forma integral.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4º As alterações no banco de dados de movimentação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medicamentos no âmbito do SNCM apenas poderão ter caráter aditivo.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5º Não será permitida a substituição de informações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interesse do SNCM já armazenadas.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§ 6º As alterações de que trata o § 4º deverão ser feitas por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meio de "substituição de evento" ou "declaração de invalidade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evento", sempre motivadamente, por meio de preenchimento do campo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"Motivo".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9º Todo registro de descarte deverá ser precedido por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um registro de perda ou extravio.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Parágrafo único. O registro de perda e o registro de descarte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podem ser realizados por elos diferentes.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CAPÍTULO VI</w:t>
      </w:r>
      <w:proofErr w:type="gramEnd"/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FORNECIMENTO DE DADOS À AGÊNCIA NACIONAL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VIGILÂNCIA SANITÁRIA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10. As instâncias dos tipos de eventos de interesse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que trata o Capítulo III serão comunicadas à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por meio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arquivos na notação XML, conforme os esquemas definidos nos arquivos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XSD a serem publicados no sítio web da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no endereço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www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.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.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gov.</w:t>
      </w:r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br.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8F06DB">
        <w:rPr>
          <w:rFonts w:ascii="Verdana" w:hAnsi="Verdana"/>
          <w:color w:val="1F497D" w:themeColor="text2"/>
          <w:sz w:val="18"/>
          <w:szCs w:val="18"/>
        </w:rPr>
        <w:t xml:space="preserve">Art. 11.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Além das interfaces por "web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service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", todo detentor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de registro deverá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implementar</w:t>
      </w:r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uma camada de apresentação que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ofereça à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, por acesso via navegador web, os dados em formato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amigável e legível por humanos.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Parágrafo único. A interface web ao usuário final será implementada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como um "front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end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" </w:t>
      </w:r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ao "web</w:t>
      </w:r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service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" de que trata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caput.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12. Tendo como base o cruzamento de seus próprios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dados e dos dados obtidos pela recepção de declarações de eventos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dos demais elos, o detentor de registro deverá monitorar e comunicar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à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em envio proativo, independentemente de consulta, as seguintes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ocorrências anômalas: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 - movimentação, ao longo da cadeia, de medicamentos cujo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IUM não tenha sido gerado pelo detentor de registro;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II - duplicação de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IUMs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, em que o IUM esteja em dois elos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ao mesmo tempo;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III - duplicação de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IUMs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, em que o IUM ressurja na cadeia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movimentação após seu rastreio ter sido finalizado (por eventos do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tipo descarte,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ou baixa).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CAPÍTULO VII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CONSIDERAÇÕES FINAIS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 xml:space="preserve">Art. 13. Serão objeto de regulamentação adicional pela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>: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 - a determinação da linguagem/notação a ser utilizada para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as "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queries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" (consultas) de dados a serem formuladas pela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>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 - a especificação, em XSD, da estrutura dos documentos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XML que 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fornecerá ao detentor de registro como envelope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das "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queries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";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III - a especificação, em XSD, da estrutura dos documentos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XML (envelope + conteúdo) que o detentor de registro fornecerá à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como respostas às "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queries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";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>
        <w:rPr>
          <w:sz w:val="16"/>
          <w:szCs w:val="16"/>
          <w:lang w:eastAsia="en-US"/>
        </w:rPr>
        <w:t>I</w:t>
      </w:r>
      <w:r w:rsidRPr="00986F5D">
        <w:rPr>
          <w:rFonts w:ascii="Verdana" w:hAnsi="Verdana"/>
          <w:color w:val="1F497D" w:themeColor="text2"/>
          <w:sz w:val="18"/>
          <w:szCs w:val="18"/>
          <w:lang w:eastAsia="en-US"/>
        </w:rPr>
        <w:t xml:space="preserve">V - a especificação dos mecanismos de negociação </w:t>
      </w:r>
      <w:r w:rsidRPr="00986F5D">
        <w:rPr>
          <w:rFonts w:ascii="Verdana" w:hAnsi="Verdana"/>
          <w:color w:val="1F497D" w:themeColor="text2"/>
          <w:sz w:val="18"/>
          <w:szCs w:val="18"/>
        </w:rPr>
        <w:t>automática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 abertura, gestão e fechamento de conexões e/ou de sessões,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sobre a pilha de protocolos de transmissão de documentos XML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entre 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e o detentor de registro que segue padrões abertos para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a interoperabilidade de "web </w:t>
      </w:r>
      <w:proofErr w:type="spellStart"/>
      <w:r w:rsidRPr="00986F5D">
        <w:rPr>
          <w:rFonts w:ascii="Verdana" w:hAnsi="Verdana"/>
          <w:color w:val="1F497D" w:themeColor="text2"/>
          <w:sz w:val="18"/>
          <w:szCs w:val="18"/>
        </w:rPr>
        <w:t>services</w:t>
      </w:r>
      <w:proofErr w:type="spellEnd"/>
      <w:r w:rsidRPr="00986F5D">
        <w:rPr>
          <w:rFonts w:ascii="Verdana" w:hAnsi="Verdana"/>
          <w:color w:val="1F497D" w:themeColor="text2"/>
          <w:sz w:val="18"/>
          <w:szCs w:val="18"/>
        </w:rPr>
        <w:t>" (WSDL e SOAP);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V - a especificação do modelo de segurança da comunicação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de dados entre cada detentor de registro e 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>, incluindo autenticação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e criptografia;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VI - a obrigatoriedade de envio proativo, independentemente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de consulta, de eventos anômalos à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 xml:space="preserve"> pelos elos da cadeia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movimentação de medicamentos, além do que estabelece o artigo 12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desta Instrução Normativa;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VII - as regras de permissão e controle de acesso remoto aos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 xml:space="preserve">dados do SNCM pela </w:t>
      </w:r>
      <w:proofErr w:type="spellStart"/>
      <w:proofErr w:type="gramStart"/>
      <w:r w:rsidRPr="00986F5D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986F5D">
        <w:rPr>
          <w:rFonts w:ascii="Verdana" w:hAnsi="Verdana"/>
          <w:color w:val="1F497D" w:themeColor="text2"/>
          <w:sz w:val="18"/>
          <w:szCs w:val="18"/>
        </w:rPr>
        <w:t>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14. A inobservância ao disposto na presente Instrução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Normativa configura infração sanitária e sujeitará o infrator às penalidades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previstas na Lei n° 6.437, de 20 de agosto de 1977, sem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prejuízo de outras cominações legais e penais aplicáveis.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Art. 15. Esta Instrução Normativa entra em vigor na data de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986F5D">
        <w:rPr>
          <w:rFonts w:ascii="Verdana" w:hAnsi="Verdana"/>
          <w:color w:val="1F497D" w:themeColor="text2"/>
          <w:sz w:val="18"/>
          <w:szCs w:val="18"/>
        </w:rPr>
        <w:t>sua publicação.</w:t>
      </w: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986F5D" w:rsidRDefault="008F06DB" w:rsidP="008F06D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DIRCEU BRÁS APARECIDO BARBANO</w:t>
      </w:r>
    </w:p>
    <w:p w:rsidR="008F06DB" w:rsidRPr="00986F5D" w:rsidRDefault="008F06DB" w:rsidP="008F06DB">
      <w:pPr>
        <w:jc w:val="both"/>
        <w:rPr>
          <w:rFonts w:ascii="Verdana" w:hAnsi="Verdana"/>
          <w:color w:val="1F497D" w:themeColor="text2"/>
          <w:sz w:val="18"/>
          <w:szCs w:val="18"/>
        </w:rPr>
      </w:pPr>
      <w:r w:rsidRPr="00986F5D">
        <w:rPr>
          <w:rFonts w:ascii="Verdana" w:hAnsi="Verdana"/>
          <w:color w:val="1F497D" w:themeColor="text2"/>
          <w:sz w:val="18"/>
          <w:szCs w:val="18"/>
        </w:rPr>
        <w:t>Diretor-Presidente</w:t>
      </w:r>
    </w:p>
    <w:p w:rsidR="008F06DB" w:rsidRPr="00986F5D" w:rsidRDefault="008F06DB" w:rsidP="008F06DB">
      <w:pPr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8F06DB" w:rsidRPr="00BF1CEF" w:rsidRDefault="008F06DB" w:rsidP="00771935">
      <w:pPr>
        <w:autoSpaceDE w:val="0"/>
        <w:autoSpaceDN w:val="0"/>
        <w:adjustRightInd w:val="0"/>
        <w:jc w:val="both"/>
        <w:rPr>
          <w:rFonts w:ascii="Verdana" w:hAnsi="Verdana" w:cs="TTE1754F20t00"/>
          <w:b/>
          <w:color w:val="000099"/>
        </w:rPr>
      </w:pPr>
    </w:p>
    <w:sectPr w:rsidR="008F06DB" w:rsidRPr="00BF1CEF" w:rsidSect="003F6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14" w:right="746" w:bottom="719" w:left="1701" w:header="360" w:footer="6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43" w:rsidRDefault="00D44D43">
      <w:r>
        <w:separator/>
      </w:r>
    </w:p>
  </w:endnote>
  <w:endnote w:type="continuationSeparator" w:id="0">
    <w:p w:rsidR="00D44D43" w:rsidRDefault="00D4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754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F27" w:rsidRDefault="00060F27" w:rsidP="00F726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06D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60F27" w:rsidRPr="00796BCC" w:rsidRDefault="00060F27" w:rsidP="00796BCC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color w:val="000080"/>
        <w:w w:val="90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796BCC">
        <w:rPr>
          <w:rFonts w:ascii="Bookman Old Style" w:hAnsi="Bookman Old Style"/>
          <w:color w:val="000080"/>
          <w:w w:val="90"/>
          <w:sz w:val="16"/>
          <w:szCs w:val="16"/>
        </w:rPr>
        <w:t>Paulo - SP -</w:t>
      </w:r>
    </w:smartTag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 Brasil - Tel. +55 (11) 3897-9779 / Fax +55 (11) 3845-</w:t>
    </w:r>
    <w:proofErr w:type="gramStart"/>
    <w:r w:rsidRPr="00796BCC">
      <w:rPr>
        <w:rFonts w:ascii="Bookman Old Style" w:hAnsi="Bookman Old Style"/>
        <w:color w:val="000080"/>
        <w:w w:val="90"/>
        <w:sz w:val="16"/>
        <w:szCs w:val="16"/>
      </w:rPr>
      <w:t>0742</w:t>
    </w:r>
    <w:proofErr w:type="gramEnd"/>
  </w:p>
  <w:p w:rsidR="00060F27" w:rsidRPr="00796BCC" w:rsidRDefault="00060F27" w:rsidP="00796BCC">
    <w:pPr>
      <w:pStyle w:val="Rodap"/>
      <w:jc w:val="center"/>
      <w:rPr>
        <w:rFonts w:ascii="Bookman Old Style" w:hAnsi="Bookman Old Style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>E-mail: sindusfarma</w:t>
    </w:r>
    <w:r w:rsidRPr="00796BCC">
      <w:rPr>
        <w:rFonts w:ascii="Bookman Old Style" w:hAnsi="Bookman Old Style"/>
        <w:color w:val="000080"/>
        <w:sz w:val="16"/>
        <w:szCs w:val="16"/>
      </w:rPr>
      <w:t>@</w:t>
    </w:r>
    <w:r>
      <w:rPr>
        <w:rFonts w:ascii="Bookman Old Style" w:hAnsi="Bookman Old Style"/>
        <w:color w:val="000080"/>
        <w:w w:val="90"/>
        <w:sz w:val="16"/>
        <w:szCs w:val="16"/>
      </w:rPr>
      <w:t>sindusfarma.org.br - Site: www.</w:t>
    </w:r>
    <w:r w:rsidRPr="00796BCC">
      <w:rPr>
        <w:rFonts w:ascii="Bookman Old Style" w:hAnsi="Bookman Old Style"/>
        <w:color w:val="000080"/>
        <w:w w:val="90"/>
        <w:sz w:val="16"/>
        <w:szCs w:val="16"/>
      </w:rPr>
      <w:t>sindusfarma.org.br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Pr="003F6F1D" w:rsidRDefault="00060F27" w:rsidP="003F6F1D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b/>
        <w:color w:val="000080"/>
        <w:w w:val="90"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3F6F1D">
        <w:rPr>
          <w:rFonts w:ascii="Bookman Old Style" w:hAnsi="Bookman Old Style"/>
          <w:b/>
          <w:color w:val="000080"/>
          <w:w w:val="90"/>
          <w:sz w:val="14"/>
          <w:szCs w:val="14"/>
        </w:rPr>
        <w:t>Paulo - SP -</w:t>
      </w:r>
    </w:smartTag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 Brasil - Tel. +55 (11) 3897-9779 / Fax +55 (11) 3845-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0742</w:t>
    </w:r>
    <w:proofErr w:type="gramEnd"/>
  </w:p>
  <w:p w:rsidR="00060F27" w:rsidRPr="003F6F1D" w:rsidRDefault="00060F27" w:rsidP="003F6F1D">
    <w:pPr>
      <w:pStyle w:val="Rodap"/>
      <w:jc w:val="center"/>
      <w:rPr>
        <w:rFonts w:ascii="Bookman Old Style" w:hAnsi="Bookman Old Style"/>
        <w:b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E-mail: sindusfarma</w:t>
    </w:r>
    <w:r w:rsidRPr="003F6F1D">
      <w:rPr>
        <w:rFonts w:ascii="Bookman Old Style" w:hAnsi="Bookman Old Style"/>
        <w:b/>
        <w:color w:val="000080"/>
        <w:sz w:val="14"/>
        <w:szCs w:val="14"/>
      </w:rPr>
      <w:t>@</w:t>
    </w: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sindusfarma.org.br - Site: </w:t>
    </w:r>
    <w:proofErr w:type="spellStart"/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www</w:t>
    </w:r>
    <w:proofErr w:type="spellEnd"/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. 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sindusfarma.org.</w:t>
    </w:r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br</w:t>
    </w:r>
  </w:p>
  <w:p w:rsidR="00060F27" w:rsidRPr="003F6F1D" w:rsidRDefault="00060F27">
    <w:pPr>
      <w:pStyle w:val="Rodap"/>
      <w:rPr>
        <w:rFonts w:ascii="Bookman Old Style" w:hAnsi="Bookman Old Style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43" w:rsidRDefault="00D44D43">
      <w:r>
        <w:separator/>
      </w:r>
    </w:p>
  </w:footnote>
  <w:footnote w:type="continuationSeparator" w:id="0">
    <w:p w:rsidR="00D44D43" w:rsidRDefault="00D4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>
    <w:pPr>
      <w:pStyle w:val="Cabealho"/>
    </w:pPr>
  </w:p>
  <w:p w:rsidR="00060F27" w:rsidRPr="00A17E80" w:rsidRDefault="00BC4752">
    <w:pPr>
      <w:pStyle w:val="Cabealho"/>
    </w:pPr>
    <w:r>
      <w:rPr>
        <w:noProof/>
      </w:rPr>
      <w:drawing>
        <wp:inline distT="0" distB="0" distL="0" distR="0">
          <wp:extent cx="6068060" cy="110426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BC4752" w:rsidP="002A1F49">
    <w:r>
      <w:rPr>
        <w:noProof/>
      </w:rPr>
      <w:drawing>
        <wp:inline distT="0" distB="0" distL="0" distR="0">
          <wp:extent cx="6068060" cy="1104265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92E"/>
    <w:multiLevelType w:val="hybridMultilevel"/>
    <w:tmpl w:val="C3A05CA2"/>
    <w:lvl w:ilvl="0" w:tplc="8BE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44A"/>
    <w:multiLevelType w:val="hybridMultilevel"/>
    <w:tmpl w:val="98C2F7B2"/>
    <w:lvl w:ilvl="0" w:tplc="DDC42A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CC"/>
    <w:rsid w:val="00003518"/>
    <w:rsid w:val="00005A30"/>
    <w:rsid w:val="00057524"/>
    <w:rsid w:val="00060F27"/>
    <w:rsid w:val="000772BC"/>
    <w:rsid w:val="00091657"/>
    <w:rsid w:val="000A3869"/>
    <w:rsid w:val="000B174A"/>
    <w:rsid w:val="00106BB6"/>
    <w:rsid w:val="00121A67"/>
    <w:rsid w:val="00125F76"/>
    <w:rsid w:val="001741A4"/>
    <w:rsid w:val="001957DD"/>
    <w:rsid w:val="001B5ACB"/>
    <w:rsid w:val="001B5EED"/>
    <w:rsid w:val="001D36AE"/>
    <w:rsid w:val="002354B2"/>
    <w:rsid w:val="00263E67"/>
    <w:rsid w:val="0027661E"/>
    <w:rsid w:val="002A1F49"/>
    <w:rsid w:val="0039761D"/>
    <w:rsid w:val="003F5C9D"/>
    <w:rsid w:val="003F6F1D"/>
    <w:rsid w:val="003F71F8"/>
    <w:rsid w:val="00460882"/>
    <w:rsid w:val="0047625C"/>
    <w:rsid w:val="004B79E6"/>
    <w:rsid w:val="004D7034"/>
    <w:rsid w:val="00526A31"/>
    <w:rsid w:val="005B3FBF"/>
    <w:rsid w:val="005C0139"/>
    <w:rsid w:val="005C426E"/>
    <w:rsid w:val="005D07C4"/>
    <w:rsid w:val="005D2B40"/>
    <w:rsid w:val="00602F51"/>
    <w:rsid w:val="00625157"/>
    <w:rsid w:val="00632518"/>
    <w:rsid w:val="00684D01"/>
    <w:rsid w:val="006A4249"/>
    <w:rsid w:val="006C5CC6"/>
    <w:rsid w:val="006D1748"/>
    <w:rsid w:val="006F281B"/>
    <w:rsid w:val="00707509"/>
    <w:rsid w:val="00714FC6"/>
    <w:rsid w:val="00744389"/>
    <w:rsid w:val="007465AB"/>
    <w:rsid w:val="007678B8"/>
    <w:rsid w:val="00771935"/>
    <w:rsid w:val="0078583B"/>
    <w:rsid w:val="00796BCC"/>
    <w:rsid w:val="007A753E"/>
    <w:rsid w:val="007B22F5"/>
    <w:rsid w:val="007B7F42"/>
    <w:rsid w:val="007E6880"/>
    <w:rsid w:val="007F6EDB"/>
    <w:rsid w:val="00823BA3"/>
    <w:rsid w:val="00832EC3"/>
    <w:rsid w:val="008352EE"/>
    <w:rsid w:val="00887445"/>
    <w:rsid w:val="008930C9"/>
    <w:rsid w:val="008E50D9"/>
    <w:rsid w:val="008F06DB"/>
    <w:rsid w:val="00907B88"/>
    <w:rsid w:val="00936FBB"/>
    <w:rsid w:val="009405B8"/>
    <w:rsid w:val="009A1752"/>
    <w:rsid w:val="009A3217"/>
    <w:rsid w:val="00A1191E"/>
    <w:rsid w:val="00A17E80"/>
    <w:rsid w:val="00A5507F"/>
    <w:rsid w:val="00A91565"/>
    <w:rsid w:val="00A95999"/>
    <w:rsid w:val="00A95A19"/>
    <w:rsid w:val="00AB6307"/>
    <w:rsid w:val="00AC6F04"/>
    <w:rsid w:val="00AC70F4"/>
    <w:rsid w:val="00AD7F10"/>
    <w:rsid w:val="00AE15EF"/>
    <w:rsid w:val="00B04F3F"/>
    <w:rsid w:val="00B26528"/>
    <w:rsid w:val="00B62505"/>
    <w:rsid w:val="00BB6EF9"/>
    <w:rsid w:val="00BC4752"/>
    <w:rsid w:val="00BF1CEF"/>
    <w:rsid w:val="00C07122"/>
    <w:rsid w:val="00C13D0D"/>
    <w:rsid w:val="00C21077"/>
    <w:rsid w:val="00C82B33"/>
    <w:rsid w:val="00CD1C28"/>
    <w:rsid w:val="00CE1BDB"/>
    <w:rsid w:val="00CF160C"/>
    <w:rsid w:val="00D111BF"/>
    <w:rsid w:val="00D12945"/>
    <w:rsid w:val="00D44D43"/>
    <w:rsid w:val="00D95F8B"/>
    <w:rsid w:val="00E30BF0"/>
    <w:rsid w:val="00E37291"/>
    <w:rsid w:val="00E816C3"/>
    <w:rsid w:val="00E9155A"/>
    <w:rsid w:val="00EA4C88"/>
    <w:rsid w:val="00F00D3C"/>
    <w:rsid w:val="00F06D04"/>
    <w:rsid w:val="00F12E30"/>
    <w:rsid w:val="00F150A1"/>
    <w:rsid w:val="00F61A0B"/>
    <w:rsid w:val="00F72678"/>
    <w:rsid w:val="00F85F5B"/>
    <w:rsid w:val="00FC2920"/>
    <w:rsid w:val="00FD1B66"/>
    <w:rsid w:val="00FE615A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E80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6B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BCC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A17E80"/>
    <w:pPr>
      <w:framePr w:w="1418" w:h="12219" w:hSpace="567" w:wrap="around" w:vAnchor="text" w:hAnchor="text" w:y="1"/>
      <w:pBdr>
        <w:right w:val="single" w:sz="6" w:space="0" w:color="000000"/>
      </w:pBdr>
      <w:shd w:val="solid" w:color="FFFFFF" w:fill="FFFFFF"/>
      <w:ind w:right="3"/>
      <w:jc w:val="center"/>
    </w:pPr>
    <w:rPr>
      <w:rFonts w:ascii="Arial" w:hAnsi="Arial" w:cs="Arial"/>
      <w:bCs/>
      <w:color w:val="000000"/>
    </w:rPr>
  </w:style>
  <w:style w:type="paragraph" w:styleId="Recuodecorpodetexto">
    <w:name w:val="Body Text Indent"/>
    <w:basedOn w:val="Normal"/>
    <w:rsid w:val="00A17E80"/>
    <w:pPr>
      <w:numPr>
        <w:ilvl w:val="12"/>
      </w:numPr>
      <w:ind w:left="78"/>
      <w:jc w:val="both"/>
    </w:pPr>
    <w:rPr>
      <w:rFonts w:ascii="Verdana" w:hAnsi="Verdana"/>
      <w:bCs/>
      <w:color w:val="000080"/>
      <w:sz w:val="18"/>
    </w:rPr>
  </w:style>
  <w:style w:type="character" w:styleId="Nmerodepgina">
    <w:name w:val="page number"/>
    <w:basedOn w:val="Fontepargpadro"/>
    <w:rsid w:val="00F72678"/>
  </w:style>
  <w:style w:type="character" w:styleId="Hyperlink">
    <w:name w:val="Hyperlink"/>
    <w:basedOn w:val="Fontepargpadro"/>
    <w:rsid w:val="00684D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F0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0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1776</Words>
  <Characters>9291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NESTA SEÇÃO</vt:lpstr>
    </vt:vector>
  </TitlesOfParts>
  <Company>Sindusfarma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NESTA SEÇÃO</dc:title>
  <dc:subject/>
  <dc:creator>Raquel</dc:creator>
  <cp:keywords/>
  <dc:description/>
  <cp:lastModifiedBy>Cristina</cp:lastModifiedBy>
  <cp:revision>3</cp:revision>
  <cp:lastPrinted>2011-01-28T13:36:00Z</cp:lastPrinted>
  <dcterms:created xsi:type="dcterms:W3CDTF">2014-08-19T11:47:00Z</dcterms:created>
  <dcterms:modified xsi:type="dcterms:W3CDTF">2014-08-19T11:48:00Z</dcterms:modified>
</cp:coreProperties>
</file>