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A6D0C" w14:textId="1FE7F278" w:rsidR="00814908" w:rsidRDefault="00814908" w:rsidP="00814908">
      <w:pPr>
        <w:pStyle w:val="NormalWeb"/>
        <w:rPr>
          <w:sz w:val="30"/>
          <w:szCs w:val="30"/>
        </w:rPr>
      </w:pPr>
      <w:r>
        <w:rPr>
          <w:rStyle w:val="Forte"/>
        </w:rPr>
        <w:br/>
      </w:r>
      <w:r>
        <w:rPr>
          <w:rStyle w:val="Forte"/>
        </w:rPr>
        <w:t>Prezado Associado,</w:t>
      </w:r>
      <w:r>
        <w:rPr>
          <w:sz w:val="30"/>
          <w:szCs w:val="30"/>
        </w:rPr>
        <w:br/>
      </w:r>
      <w:r>
        <w:t> </w:t>
      </w:r>
      <w:r>
        <w:br/>
        <w:t>Encaminhamos para ciência a </w:t>
      </w:r>
      <w:hyperlink r:id="rId8" w:history="1">
        <w:r>
          <w:rPr>
            <w:rStyle w:val="Hyperlink"/>
            <w:b/>
            <w:bCs/>
          </w:rPr>
          <w:t>PORTARIA/MTP Nº 1.846</w:t>
        </w:r>
      </w:hyperlink>
      <w:r>
        <w:rPr>
          <w:rStyle w:val="Forte"/>
        </w:rPr>
        <w:t>,</w:t>
      </w:r>
      <w:r>
        <w:t> publicada em 01/07/2022, que </w:t>
      </w:r>
      <w:r>
        <w:rPr>
          <w:rStyle w:val="nfase"/>
          <w:b/>
          <w:bCs/>
        </w:rPr>
        <w:t>aprova a nova redação da Norma Regulamentadora nº 13 - Caldeiras, Vasos de Pressão, Tubulações e Tanques Metálicos de Armazenamento.</w:t>
      </w:r>
    </w:p>
    <w:p w14:paraId="389638AE" w14:textId="77777777" w:rsidR="00814908" w:rsidRDefault="00814908" w:rsidP="00814908">
      <w:pPr>
        <w:pStyle w:val="NormalWeb"/>
        <w:rPr>
          <w:sz w:val="30"/>
          <w:szCs w:val="30"/>
        </w:rPr>
      </w:pPr>
      <w:r>
        <w:br/>
        <w:t>O novo texto da NR13 introduziu comandos que visam a harmonização com o PGR/GRO - Programa Gerenciamento de Riscos / Gerenciamento de Riscos Ocupacionais da NR 01 - Disposições Gerais e Gerenciamento de Riscos Ocupacionais, bem como a possibilidade da realização dos treinamentos na modalidade Educação à distância (</w:t>
      </w:r>
      <w:proofErr w:type="spellStart"/>
      <w:r>
        <w:t>Ead</w:t>
      </w:r>
      <w:proofErr w:type="spellEnd"/>
      <w:r>
        <w:t>).</w:t>
      </w:r>
    </w:p>
    <w:p w14:paraId="565A9416" w14:textId="77777777" w:rsidR="00814908" w:rsidRDefault="00814908" w:rsidP="00814908">
      <w:pPr>
        <w:numPr>
          <w:ilvl w:val="0"/>
          <w:numId w:val="11"/>
        </w:numPr>
        <w:spacing w:before="100" w:beforeAutospacing="1" w:after="100" w:afterAutospacing="1" w:line="240" w:lineRule="auto"/>
        <w:rPr>
          <w:rFonts w:eastAsia="Times New Roman"/>
          <w:sz w:val="30"/>
          <w:szCs w:val="30"/>
        </w:rPr>
      </w:pPr>
      <w:r>
        <w:rPr>
          <w:sz w:val="24"/>
          <w:szCs w:val="24"/>
        </w:rPr>
        <w:t>Destacamos alguns pontos mais relevantes:</w:t>
      </w:r>
      <w:r>
        <w:br/>
      </w:r>
      <w:r>
        <w:br/>
      </w:r>
      <w:r>
        <w:rPr>
          <w:rFonts w:eastAsia="Times New Roman"/>
          <w:sz w:val="24"/>
          <w:szCs w:val="24"/>
        </w:rPr>
        <w:t>O empregador é o responsável pela adoção das medidas determinadas nesta NR, inclusive, para os equipamentos pertencentes a terceiros, que estejam nas dependências do estabelecimento (item 13.1.3). Porém, a responsabilidade do empregador não suprime o dever do proprietário dos equipamentos em cumprir as disposições legais e regulamentos acerca do tema (item 13.1.3.1); </w:t>
      </w:r>
    </w:p>
    <w:p w14:paraId="6BEFF2E5" w14:textId="77777777" w:rsidR="00814908" w:rsidRDefault="00814908" w:rsidP="00814908">
      <w:pPr>
        <w:pStyle w:val="NormalWeb"/>
        <w:rPr>
          <w:rFonts w:eastAsiaTheme="minorHAnsi"/>
          <w:sz w:val="30"/>
          <w:szCs w:val="30"/>
        </w:rPr>
      </w:pPr>
      <w:r>
        <w:rPr>
          <w:sz w:val="30"/>
          <w:szCs w:val="30"/>
        </w:rPr>
        <w:t> </w:t>
      </w:r>
    </w:p>
    <w:p w14:paraId="6F463266" w14:textId="77777777" w:rsidR="00814908" w:rsidRDefault="00814908" w:rsidP="00814908">
      <w:pPr>
        <w:numPr>
          <w:ilvl w:val="0"/>
          <w:numId w:val="12"/>
        </w:numPr>
        <w:spacing w:before="100" w:beforeAutospacing="1" w:after="100" w:afterAutospacing="1" w:line="240" w:lineRule="auto"/>
        <w:rPr>
          <w:rFonts w:eastAsia="Times New Roman"/>
          <w:sz w:val="30"/>
          <w:szCs w:val="30"/>
        </w:rPr>
      </w:pPr>
      <w:r>
        <w:rPr>
          <w:rFonts w:eastAsia="Times New Roman"/>
          <w:sz w:val="24"/>
          <w:szCs w:val="24"/>
        </w:rPr>
        <w:t xml:space="preserve">O novo texto permite que os estabelecimentos que possuem SPIE - Sistema Próprio de Inspeção de Equipamentos Certificados, poderão ampliar os prazos de inspeção disciplinados na Tabela 2, nos casos de implementação de metodologia documentada de inspeção baseada em riscos, observando o limite máximo de 10 anos para o exame interno de vasos da categoria </w:t>
      </w:r>
      <w:proofErr w:type="gramStart"/>
      <w:r>
        <w:rPr>
          <w:rFonts w:eastAsia="Times New Roman"/>
          <w:sz w:val="24"/>
          <w:szCs w:val="24"/>
        </w:rPr>
        <w:t>I(</w:t>
      </w:r>
      <w:proofErr w:type="gramEnd"/>
      <w:r>
        <w:rPr>
          <w:rFonts w:eastAsia="Times New Roman"/>
          <w:sz w:val="24"/>
          <w:szCs w:val="24"/>
        </w:rPr>
        <w:t>item 13.5.4.5.1);</w:t>
      </w:r>
    </w:p>
    <w:p w14:paraId="730872F4" w14:textId="77777777" w:rsidR="00814908" w:rsidRDefault="00814908" w:rsidP="00814908">
      <w:pPr>
        <w:pStyle w:val="NormalWeb"/>
        <w:rPr>
          <w:rFonts w:eastAsiaTheme="minorHAnsi"/>
          <w:sz w:val="30"/>
          <w:szCs w:val="30"/>
        </w:rPr>
      </w:pPr>
      <w:r>
        <w:rPr>
          <w:sz w:val="30"/>
          <w:szCs w:val="30"/>
        </w:rPr>
        <w:t> </w:t>
      </w:r>
    </w:p>
    <w:p w14:paraId="262EFD3E" w14:textId="77777777" w:rsidR="00814908" w:rsidRDefault="00814908" w:rsidP="00814908">
      <w:pPr>
        <w:numPr>
          <w:ilvl w:val="0"/>
          <w:numId w:val="13"/>
        </w:numPr>
        <w:spacing w:before="100" w:beforeAutospacing="1" w:after="100" w:afterAutospacing="1" w:line="240" w:lineRule="auto"/>
        <w:rPr>
          <w:rFonts w:eastAsia="Times New Roman"/>
          <w:sz w:val="30"/>
          <w:szCs w:val="30"/>
        </w:rPr>
      </w:pPr>
      <w:r>
        <w:rPr>
          <w:rFonts w:eastAsia="Times New Roman"/>
          <w:sz w:val="24"/>
          <w:szCs w:val="24"/>
        </w:rPr>
        <w:t>Foram mantidos os critérios que caracterizam o grave e iminente risco com potencial para causar acidentes (item 13.3.1); </w:t>
      </w:r>
    </w:p>
    <w:p w14:paraId="73B5FE13" w14:textId="77777777" w:rsidR="00814908" w:rsidRDefault="00814908" w:rsidP="00814908">
      <w:pPr>
        <w:pStyle w:val="NormalWeb"/>
        <w:rPr>
          <w:rFonts w:eastAsiaTheme="minorHAnsi"/>
          <w:sz w:val="30"/>
          <w:szCs w:val="30"/>
        </w:rPr>
      </w:pPr>
      <w:r>
        <w:rPr>
          <w:sz w:val="30"/>
          <w:szCs w:val="30"/>
        </w:rPr>
        <w:t> </w:t>
      </w:r>
    </w:p>
    <w:p w14:paraId="27E114D7" w14:textId="77777777" w:rsidR="00814908" w:rsidRDefault="00814908" w:rsidP="00814908">
      <w:pPr>
        <w:numPr>
          <w:ilvl w:val="0"/>
          <w:numId w:val="14"/>
        </w:numPr>
        <w:spacing w:before="100" w:beforeAutospacing="1" w:after="100" w:afterAutospacing="1" w:line="240" w:lineRule="auto"/>
        <w:rPr>
          <w:rFonts w:eastAsia="Times New Roman"/>
          <w:sz w:val="30"/>
          <w:szCs w:val="30"/>
        </w:rPr>
      </w:pPr>
      <w:r>
        <w:rPr>
          <w:rFonts w:eastAsia="Times New Roman"/>
          <w:sz w:val="24"/>
          <w:szCs w:val="24"/>
        </w:rPr>
        <w:t xml:space="preserve">A inspeção de segurança periódica, constituída por exame interno e externo deve ser executada no prazo máximo de 18 meses para as caldeiras de recuperação de álcalis de qualquer categoria (alínea "b" do item 13.4.4.4). As inspeções de segurança periódicas das caldeiras de categoria "B" com sistema de gerenciamento de combustão - SGC deve ser executada no prazo máximo de </w:t>
      </w:r>
      <w:r>
        <w:rPr>
          <w:rFonts w:eastAsia="Times New Roman"/>
          <w:sz w:val="24"/>
          <w:szCs w:val="24"/>
        </w:rPr>
        <w:lastRenderedPageBreak/>
        <w:t>30 meses que atendam ao disposto no Anexo IV desta NR (alínea "d" do item 13.4.4.4);</w:t>
      </w:r>
    </w:p>
    <w:p w14:paraId="00E9525A" w14:textId="77777777" w:rsidR="00814908" w:rsidRDefault="00814908" w:rsidP="00814908">
      <w:pPr>
        <w:pStyle w:val="NormalWeb"/>
        <w:rPr>
          <w:rFonts w:eastAsiaTheme="minorHAnsi"/>
          <w:sz w:val="30"/>
          <w:szCs w:val="30"/>
        </w:rPr>
      </w:pPr>
      <w:r>
        <w:rPr>
          <w:sz w:val="30"/>
          <w:szCs w:val="30"/>
        </w:rPr>
        <w:t> </w:t>
      </w:r>
    </w:p>
    <w:p w14:paraId="1208FCCC" w14:textId="77777777" w:rsidR="00814908" w:rsidRDefault="00814908" w:rsidP="00814908">
      <w:pPr>
        <w:numPr>
          <w:ilvl w:val="0"/>
          <w:numId w:val="15"/>
        </w:numPr>
        <w:spacing w:before="100" w:beforeAutospacing="1" w:after="100" w:afterAutospacing="1" w:line="240" w:lineRule="auto"/>
        <w:rPr>
          <w:rFonts w:eastAsia="Times New Roman"/>
          <w:sz w:val="30"/>
          <w:szCs w:val="30"/>
        </w:rPr>
      </w:pPr>
      <w:r>
        <w:rPr>
          <w:rFonts w:eastAsia="Times New Roman"/>
          <w:sz w:val="24"/>
          <w:szCs w:val="24"/>
        </w:rPr>
        <w:t>Os estabelecimentos que possuem SPIE - Sistema Próprio de Inspeção de Equipamentos, podem estender os períodos entre inspeções de segurança no prazo máximo de 48 meses para caldeiras de categoria "A" com Sistema Instrumentado de Segurança - SIS, que atendam ao disposto no Anexo IV desta NR (alínea "d" do item 13.4.4.5); </w:t>
      </w:r>
    </w:p>
    <w:p w14:paraId="7DD6D721" w14:textId="77777777" w:rsidR="00814908" w:rsidRDefault="00814908" w:rsidP="00814908">
      <w:pPr>
        <w:pStyle w:val="NormalWeb"/>
        <w:rPr>
          <w:rFonts w:eastAsiaTheme="minorHAnsi"/>
          <w:sz w:val="30"/>
          <w:szCs w:val="30"/>
        </w:rPr>
      </w:pPr>
      <w:r>
        <w:rPr>
          <w:sz w:val="30"/>
          <w:szCs w:val="30"/>
        </w:rPr>
        <w:t> </w:t>
      </w:r>
    </w:p>
    <w:p w14:paraId="3607FB19" w14:textId="77777777" w:rsidR="00814908" w:rsidRDefault="00814908" w:rsidP="00814908">
      <w:pPr>
        <w:numPr>
          <w:ilvl w:val="0"/>
          <w:numId w:val="16"/>
        </w:numPr>
        <w:spacing w:before="100" w:beforeAutospacing="1" w:after="100" w:afterAutospacing="1" w:line="240" w:lineRule="auto"/>
        <w:rPr>
          <w:rFonts w:eastAsia="Times New Roman"/>
          <w:sz w:val="30"/>
          <w:szCs w:val="30"/>
        </w:rPr>
      </w:pPr>
      <w:r>
        <w:rPr>
          <w:rStyle w:val="nfase"/>
          <w:rFonts w:eastAsia="Times New Roman"/>
          <w:sz w:val="24"/>
          <w:szCs w:val="24"/>
        </w:rPr>
        <w:t>A</w:t>
      </w:r>
      <w:r>
        <w:rPr>
          <w:rFonts w:eastAsia="Times New Roman"/>
          <w:sz w:val="24"/>
          <w:szCs w:val="24"/>
        </w:rPr>
        <w:t> inspeção periódica interna dos vasos de pressão poderá ser postergada, pela metade do prazo fixado na Tabela 2, mediante o atendimento dos seguintes requisitos: (item 13.5.4.5.3);</w:t>
      </w:r>
    </w:p>
    <w:p w14:paraId="6B38B1BD" w14:textId="77777777" w:rsidR="00814908" w:rsidRDefault="00814908" w:rsidP="00814908">
      <w:pPr>
        <w:numPr>
          <w:ilvl w:val="0"/>
          <w:numId w:val="17"/>
        </w:numPr>
        <w:spacing w:before="100" w:beforeAutospacing="1" w:after="100" w:afterAutospacing="1" w:line="240" w:lineRule="auto"/>
        <w:rPr>
          <w:rFonts w:eastAsia="Times New Roman"/>
          <w:sz w:val="30"/>
          <w:szCs w:val="30"/>
        </w:rPr>
      </w:pPr>
      <w:r>
        <w:rPr>
          <w:rStyle w:val="nfase"/>
          <w:rFonts w:eastAsia="Times New Roman"/>
          <w:sz w:val="24"/>
          <w:szCs w:val="24"/>
        </w:rPr>
        <w:t>a) empresas que possuam SPIE, conforme Anexo IV desta NR; </w:t>
      </w:r>
      <w:r>
        <w:rPr>
          <w:rFonts w:eastAsia="Times New Roman"/>
          <w:i/>
          <w:iCs/>
          <w:sz w:val="24"/>
          <w:szCs w:val="24"/>
        </w:rPr>
        <w:br/>
      </w:r>
      <w:r>
        <w:rPr>
          <w:rStyle w:val="nfase"/>
          <w:rFonts w:eastAsia="Times New Roman"/>
          <w:sz w:val="24"/>
          <w:szCs w:val="24"/>
        </w:rPr>
        <w:t>b) avaliação de risco aprovada por Profissional Legalmente Habilitado - PLH, assegurada a participação dos responsáveis pela operação do equipamento;</w:t>
      </w:r>
      <w:r>
        <w:rPr>
          <w:rFonts w:eastAsia="Times New Roman"/>
          <w:i/>
          <w:iCs/>
          <w:sz w:val="24"/>
          <w:szCs w:val="24"/>
        </w:rPr>
        <w:br/>
      </w:r>
      <w:r>
        <w:rPr>
          <w:rStyle w:val="nfase"/>
          <w:rFonts w:eastAsia="Times New Roman"/>
          <w:sz w:val="24"/>
          <w:szCs w:val="24"/>
        </w:rPr>
        <w:t>c) definição dos parâmetros operacionais e dos instrumentos de controle essenciais ao monitoramento do equipamento; </w:t>
      </w:r>
      <w:r>
        <w:rPr>
          <w:rFonts w:eastAsia="Times New Roman"/>
          <w:i/>
          <w:iCs/>
          <w:sz w:val="24"/>
          <w:szCs w:val="24"/>
        </w:rPr>
        <w:br/>
      </w:r>
      <w:r>
        <w:rPr>
          <w:rStyle w:val="nfase"/>
          <w:rFonts w:eastAsia="Times New Roman"/>
          <w:sz w:val="24"/>
          <w:szCs w:val="24"/>
        </w:rPr>
        <w:t>d) implementação de metodologia documentada de Inspeção Não Intrusiva - INI, observado o disposto na ABNT NBR 16455 ou alteração posterior;</w:t>
      </w:r>
      <w:r>
        <w:rPr>
          <w:rFonts w:eastAsia="Times New Roman"/>
          <w:i/>
          <w:iCs/>
          <w:sz w:val="24"/>
          <w:szCs w:val="24"/>
        </w:rPr>
        <w:br/>
      </w:r>
      <w:r>
        <w:rPr>
          <w:rStyle w:val="nfase"/>
          <w:rFonts w:eastAsia="Times New Roman"/>
          <w:sz w:val="24"/>
          <w:szCs w:val="24"/>
        </w:rPr>
        <w:t>e) emissão de relatório de inspeção, com a definição da data improrrogável da próxima inspeção periódica interna; e </w:t>
      </w:r>
      <w:r>
        <w:rPr>
          <w:rFonts w:eastAsia="Times New Roman"/>
          <w:i/>
          <w:iCs/>
          <w:sz w:val="24"/>
          <w:szCs w:val="24"/>
        </w:rPr>
        <w:br/>
      </w:r>
      <w:r>
        <w:rPr>
          <w:rStyle w:val="nfase"/>
          <w:rFonts w:eastAsia="Times New Roman"/>
          <w:sz w:val="24"/>
          <w:szCs w:val="24"/>
        </w:rPr>
        <w:t>f) anuência do empregador ou de preposto por ele designado.</w:t>
      </w:r>
    </w:p>
    <w:p w14:paraId="7907A0AF" w14:textId="77777777" w:rsidR="00814908" w:rsidRDefault="00814908" w:rsidP="00814908">
      <w:pPr>
        <w:numPr>
          <w:ilvl w:val="0"/>
          <w:numId w:val="18"/>
        </w:numPr>
        <w:spacing w:before="100" w:beforeAutospacing="1" w:after="100" w:afterAutospacing="1" w:line="240" w:lineRule="auto"/>
        <w:rPr>
          <w:rFonts w:eastAsia="Times New Roman"/>
          <w:sz w:val="30"/>
          <w:szCs w:val="30"/>
        </w:rPr>
      </w:pPr>
      <w:r>
        <w:rPr>
          <w:rFonts w:eastAsia="Times New Roman"/>
          <w:sz w:val="24"/>
          <w:szCs w:val="24"/>
        </w:rPr>
        <w:t>A referida Portaria estabelece o </w:t>
      </w:r>
      <w:r>
        <w:rPr>
          <w:rStyle w:val="Forte"/>
          <w:rFonts w:eastAsia="Times New Roman"/>
          <w:sz w:val="24"/>
          <w:szCs w:val="24"/>
        </w:rPr>
        <w:t>prazo de quatro anos</w:t>
      </w:r>
      <w:r>
        <w:rPr>
          <w:rFonts w:eastAsia="Times New Roman"/>
          <w:sz w:val="24"/>
          <w:szCs w:val="24"/>
          <w:u w:val="single"/>
        </w:rPr>
        <w:t>,</w:t>
      </w:r>
      <w:r>
        <w:rPr>
          <w:rFonts w:eastAsia="Times New Roman"/>
          <w:sz w:val="24"/>
          <w:szCs w:val="24"/>
        </w:rPr>
        <w:t> a partir de sua publicação, para sua aplicabilidade em relação aos tanques metálicos de armazenamento, com diâmetro externo maior do que três metros, capacidade nominal acima de vinte mil litros, e que contenham fluidos de classe "A" ou "B", conforme as alíneas "a" e "b" do subitem 13.5.1.1.1 desta NR (alínea "f" do item 13.2.1)</w:t>
      </w:r>
    </w:p>
    <w:p w14:paraId="34AC51AF" w14:textId="77777777" w:rsidR="00814908" w:rsidRDefault="00814908" w:rsidP="00814908">
      <w:pPr>
        <w:pStyle w:val="NormalWeb"/>
        <w:rPr>
          <w:rFonts w:eastAsiaTheme="minorHAnsi"/>
          <w:sz w:val="30"/>
          <w:szCs w:val="30"/>
        </w:rPr>
      </w:pPr>
      <w:r>
        <w:rPr>
          <w:sz w:val="30"/>
          <w:szCs w:val="30"/>
        </w:rPr>
        <w:t> </w:t>
      </w:r>
    </w:p>
    <w:p w14:paraId="51C68702" w14:textId="77777777" w:rsidR="00814908" w:rsidRDefault="00814908" w:rsidP="00814908">
      <w:pPr>
        <w:numPr>
          <w:ilvl w:val="0"/>
          <w:numId w:val="19"/>
        </w:numPr>
        <w:spacing w:before="100" w:beforeAutospacing="1" w:after="100" w:afterAutospacing="1" w:line="240" w:lineRule="auto"/>
        <w:rPr>
          <w:rFonts w:eastAsia="Times New Roman"/>
          <w:sz w:val="30"/>
          <w:szCs w:val="30"/>
        </w:rPr>
      </w:pPr>
      <w:r>
        <w:rPr>
          <w:rFonts w:eastAsia="Times New Roman"/>
          <w:sz w:val="24"/>
          <w:szCs w:val="24"/>
        </w:rPr>
        <w:t>A obrigatoriedade do atendimento ao contido no subitem 13.3.13 é válida para equipamentos novos fabricados </w:t>
      </w:r>
      <w:r>
        <w:rPr>
          <w:rStyle w:val="Forte"/>
          <w:rFonts w:eastAsia="Times New Roman"/>
          <w:sz w:val="24"/>
          <w:szCs w:val="24"/>
        </w:rPr>
        <w:t>a partir de 20 de março de 2019</w:t>
      </w:r>
      <w:r>
        <w:rPr>
          <w:rFonts w:eastAsia="Times New Roman"/>
          <w:sz w:val="24"/>
          <w:szCs w:val="24"/>
        </w:rPr>
        <w:t>. </w:t>
      </w:r>
    </w:p>
    <w:p w14:paraId="483628CC" w14:textId="77777777" w:rsidR="00814908" w:rsidRDefault="00814908" w:rsidP="00814908">
      <w:pPr>
        <w:pStyle w:val="NormalWeb"/>
        <w:rPr>
          <w:rFonts w:eastAsiaTheme="minorHAnsi"/>
          <w:sz w:val="30"/>
          <w:szCs w:val="30"/>
        </w:rPr>
      </w:pPr>
      <w:r>
        <w:rPr>
          <w:sz w:val="30"/>
          <w:szCs w:val="30"/>
        </w:rPr>
        <w:t> </w:t>
      </w:r>
    </w:p>
    <w:p w14:paraId="60C8087A" w14:textId="77777777" w:rsidR="00814908" w:rsidRDefault="00814908" w:rsidP="00814908">
      <w:pPr>
        <w:numPr>
          <w:ilvl w:val="0"/>
          <w:numId w:val="20"/>
        </w:numPr>
        <w:spacing w:before="100" w:beforeAutospacing="1" w:after="100" w:afterAutospacing="1" w:line="240" w:lineRule="auto"/>
        <w:rPr>
          <w:rFonts w:eastAsia="Times New Roman"/>
          <w:sz w:val="30"/>
          <w:szCs w:val="30"/>
        </w:rPr>
      </w:pPr>
      <w:r>
        <w:rPr>
          <w:rFonts w:eastAsia="Times New Roman"/>
          <w:sz w:val="24"/>
          <w:szCs w:val="24"/>
        </w:rPr>
        <w:lastRenderedPageBreak/>
        <w:t>O cumprimento do estabelecido nos subitens descritos abaixo deve ocorrer a partir de: </w:t>
      </w:r>
    </w:p>
    <w:p w14:paraId="74FA1F83" w14:textId="77777777" w:rsidR="00814908" w:rsidRDefault="00814908" w:rsidP="00814908">
      <w:pPr>
        <w:pStyle w:val="NormalWeb"/>
        <w:rPr>
          <w:rFonts w:eastAsiaTheme="minorHAnsi"/>
          <w:sz w:val="30"/>
          <w:szCs w:val="30"/>
        </w:rPr>
      </w:pPr>
      <w:r>
        <w:t>I - 20 de dezembro de 2023 - para o subitem 13.5.1.6.2; e </w:t>
      </w:r>
      <w:r>
        <w:rPr>
          <w:sz w:val="30"/>
          <w:szCs w:val="30"/>
        </w:rPr>
        <w:br/>
      </w:r>
      <w:r>
        <w:rPr>
          <w:sz w:val="30"/>
          <w:szCs w:val="30"/>
        </w:rPr>
        <w:br/>
      </w:r>
      <w:r>
        <w:t>II - 20 de dezembro de 2028 - para o subitem 13.5.1.6.3.</w:t>
      </w:r>
    </w:p>
    <w:p w14:paraId="3A97D3B6" w14:textId="77777777" w:rsidR="00814908" w:rsidRDefault="00814908" w:rsidP="00814908">
      <w:pPr>
        <w:numPr>
          <w:ilvl w:val="0"/>
          <w:numId w:val="21"/>
        </w:numPr>
        <w:spacing w:before="100" w:beforeAutospacing="1" w:after="100" w:afterAutospacing="1" w:line="240" w:lineRule="auto"/>
        <w:rPr>
          <w:rFonts w:eastAsia="Times New Roman"/>
          <w:sz w:val="30"/>
          <w:szCs w:val="30"/>
        </w:rPr>
      </w:pPr>
      <w:r>
        <w:rPr>
          <w:rFonts w:eastAsia="Times New Roman"/>
          <w:sz w:val="24"/>
          <w:szCs w:val="24"/>
        </w:rPr>
        <w:t> A obrigatoriedade do atendimento ao que dispõe o subitem 13.6.2.1, referente à inspeção de segurança inicial, é válida para tubulações instaladas a partir de </w:t>
      </w:r>
      <w:r>
        <w:rPr>
          <w:rStyle w:val="Forte"/>
          <w:rFonts w:eastAsia="Times New Roman"/>
          <w:sz w:val="24"/>
          <w:szCs w:val="24"/>
        </w:rPr>
        <w:t>2 de maio de 2014. </w:t>
      </w:r>
    </w:p>
    <w:p w14:paraId="6DA1AEFA" w14:textId="77777777" w:rsidR="00814908" w:rsidRDefault="00814908" w:rsidP="00814908">
      <w:pPr>
        <w:pStyle w:val="NormalWeb"/>
        <w:rPr>
          <w:rFonts w:eastAsiaTheme="minorHAnsi"/>
          <w:sz w:val="30"/>
          <w:szCs w:val="30"/>
        </w:rPr>
      </w:pPr>
      <w:r>
        <w:rPr>
          <w:sz w:val="30"/>
          <w:szCs w:val="30"/>
        </w:rPr>
        <w:t> </w:t>
      </w:r>
    </w:p>
    <w:p w14:paraId="6EC2A00F" w14:textId="77777777" w:rsidR="00814908" w:rsidRDefault="00814908" w:rsidP="00814908">
      <w:pPr>
        <w:numPr>
          <w:ilvl w:val="0"/>
          <w:numId w:val="22"/>
        </w:numPr>
        <w:spacing w:before="100" w:beforeAutospacing="1" w:after="100" w:afterAutospacing="1" w:line="240" w:lineRule="auto"/>
        <w:rPr>
          <w:rFonts w:eastAsia="Times New Roman"/>
          <w:sz w:val="30"/>
          <w:szCs w:val="30"/>
        </w:rPr>
      </w:pPr>
      <w:r>
        <w:rPr>
          <w:rFonts w:eastAsia="Times New Roman"/>
          <w:sz w:val="24"/>
          <w:szCs w:val="24"/>
        </w:rPr>
        <w:t>Os estabelecimentos que possuem Serviço Próprio de Inspeção - SPIE e que optarem por aplicar a metodologia de Inspeção Não Intrusiva - INI devem realizar uma inspeção piloto com acompanhamento em todas as suas etapas pelo Organismo de Certificação de Produto - OCP de SPIE e por entidade sindical predominante no estabelecimento, ou por representante por ela indicado, que avaliarão o processo para emissão de parecer pela Comissão de Certificação de SPIE - COMCER.</w:t>
      </w:r>
    </w:p>
    <w:p w14:paraId="3B834760" w14:textId="77777777" w:rsidR="00814908" w:rsidRDefault="00814908" w:rsidP="00814908">
      <w:pPr>
        <w:pStyle w:val="NormalWeb"/>
        <w:rPr>
          <w:rFonts w:eastAsiaTheme="minorHAnsi"/>
          <w:sz w:val="30"/>
          <w:szCs w:val="30"/>
        </w:rPr>
      </w:pPr>
      <w:r>
        <w:rPr>
          <w:sz w:val="30"/>
          <w:szCs w:val="30"/>
        </w:rPr>
        <w:t> </w:t>
      </w:r>
    </w:p>
    <w:p w14:paraId="36560551" w14:textId="77777777" w:rsidR="00814908" w:rsidRDefault="00814908" w:rsidP="00814908">
      <w:pPr>
        <w:numPr>
          <w:ilvl w:val="0"/>
          <w:numId w:val="23"/>
        </w:numPr>
        <w:spacing w:before="100" w:beforeAutospacing="1" w:after="100" w:afterAutospacing="1" w:line="240" w:lineRule="auto"/>
        <w:rPr>
          <w:rFonts w:eastAsia="Times New Roman"/>
          <w:sz w:val="30"/>
          <w:szCs w:val="30"/>
        </w:rPr>
      </w:pPr>
      <w:r>
        <w:rPr>
          <w:rFonts w:eastAsia="Times New Roman"/>
          <w:sz w:val="24"/>
          <w:szCs w:val="24"/>
        </w:rPr>
        <w:t>Foi incluído um novo anexo que dispõe sobre os comandos para ampliação de prazos de inspeção de caldeiras categoria "A" com Sistema Instrumentado de Segurança (SIS) e de caldeiras categoria "B" com Sistema de Gerenciamento de Combustão - SGC. Ressalta-se que as regras do SIS e SGC já estavam previstas na versão anterior da NR 13 e foram apenas transferidas para o anexo.</w:t>
      </w:r>
      <w:r>
        <w:rPr>
          <w:rStyle w:val="Forte"/>
          <w:rFonts w:eastAsia="Times New Roman"/>
          <w:sz w:val="24"/>
          <w:szCs w:val="24"/>
        </w:rPr>
        <w:t> </w:t>
      </w:r>
      <w:r>
        <w:rPr>
          <w:rFonts w:eastAsia="Times New Roman"/>
          <w:sz w:val="24"/>
          <w:szCs w:val="24"/>
        </w:rPr>
        <w:t> (Anexo 4)</w:t>
      </w:r>
    </w:p>
    <w:p w14:paraId="1D16CD4B" w14:textId="77777777" w:rsidR="00814908" w:rsidRDefault="00814908" w:rsidP="00814908">
      <w:pPr>
        <w:pStyle w:val="NormalWeb"/>
        <w:rPr>
          <w:rFonts w:eastAsiaTheme="minorHAnsi"/>
          <w:sz w:val="30"/>
          <w:szCs w:val="30"/>
        </w:rPr>
      </w:pPr>
      <w:r>
        <w:rPr>
          <w:sz w:val="30"/>
          <w:szCs w:val="30"/>
        </w:rPr>
        <w:t> </w:t>
      </w:r>
    </w:p>
    <w:p w14:paraId="7DB30D43" w14:textId="03885315" w:rsidR="00052B5A" w:rsidRPr="00814908" w:rsidRDefault="00814908" w:rsidP="00814908">
      <w:pPr>
        <w:pStyle w:val="NormalWeb"/>
        <w:rPr>
          <w:sz w:val="30"/>
          <w:szCs w:val="30"/>
        </w:rPr>
      </w:pPr>
      <w:hyperlink r:id="rId9" w:history="1">
        <w:r>
          <w:rPr>
            <w:rStyle w:val="Hyperlink"/>
            <w:b/>
            <w:bCs/>
          </w:rPr>
          <w:t>Acesse aqui</w:t>
        </w:r>
      </w:hyperlink>
      <w:r>
        <w:rPr>
          <w:rStyle w:val="Forte"/>
        </w:rPr>
        <w:t> </w:t>
      </w:r>
      <w:r>
        <w:t xml:space="preserve">o quadro comparativo contemplando a versão anterior (Portaria SEPRT n° 915 de 30/07/2019) e a versão atual publicada pela Portaria MTP nº 1846 de 1º </w:t>
      </w:r>
      <w:proofErr w:type="gramStart"/>
      <w:r>
        <w:t>Julho</w:t>
      </w:r>
      <w:proofErr w:type="gramEnd"/>
      <w:r>
        <w:t xml:space="preserve"> de 2022. Os itens que sofreram ajustes e alterações encontram-se identificados em amarelo.</w:t>
      </w:r>
      <w:r>
        <w:br/>
      </w:r>
      <w:r>
        <w:br/>
      </w:r>
      <w:r>
        <w:br/>
      </w:r>
      <w:r>
        <w:br/>
      </w:r>
      <w:r>
        <w:br/>
      </w:r>
      <w:r>
        <w:t>Cordialmente, </w:t>
      </w:r>
      <w:r>
        <w:br/>
      </w:r>
      <w:r>
        <w:br/>
        <w:t>Arnaldo Pedace</w:t>
      </w:r>
      <w:r>
        <w:br/>
        <w:t>Gerente de relações sindicais e trabalhistas.</w:t>
      </w:r>
      <w:r>
        <w:br/>
      </w:r>
      <w:r>
        <w:lastRenderedPageBreak/>
        <w:br/>
      </w:r>
    </w:p>
    <w:sectPr w:rsidR="00052B5A" w:rsidRPr="00814908" w:rsidSect="00014A7F">
      <w:headerReference w:type="even" r:id="rId10"/>
      <w:headerReference w:type="default" r:id="rId11"/>
      <w:footerReference w:type="even" r:id="rId12"/>
      <w:footerReference w:type="default" r:id="rId13"/>
      <w:headerReference w:type="first" r:id="rId14"/>
      <w:footerReference w:type="first" r:id="rId15"/>
      <w:pgSz w:w="11906" w:h="16838" w:code="9"/>
      <w:pgMar w:top="1417" w:right="1700" w:bottom="1417"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9F5D" w14:textId="77777777" w:rsidR="00CA76A5" w:rsidRDefault="00CA76A5" w:rsidP="00AE52E7">
      <w:pPr>
        <w:spacing w:after="0" w:line="240" w:lineRule="auto"/>
      </w:pPr>
      <w:r>
        <w:separator/>
      </w:r>
    </w:p>
  </w:endnote>
  <w:endnote w:type="continuationSeparator" w:id="0">
    <w:p w14:paraId="2561E8FB" w14:textId="77777777" w:rsidR="00CA76A5" w:rsidRDefault="00CA76A5" w:rsidP="00AE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2495" w14:textId="77777777" w:rsidR="00814908" w:rsidRDefault="008149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3684" w14:textId="39EFB71B" w:rsidR="00AE52E7" w:rsidRDefault="0003237A">
    <w:pPr>
      <w:pStyle w:val="Rodap"/>
    </w:pPr>
    <w:r>
      <w:rPr>
        <w:noProof/>
      </w:rPr>
      <w:drawing>
        <wp:inline distT="0" distB="0" distL="0" distR="0" wp14:anchorId="3C5058A1" wp14:editId="6761BB7A">
          <wp:extent cx="5400040" cy="298450"/>
          <wp:effectExtent l="0" t="0" r="0" b="635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5400040" cy="298450"/>
                  </a:xfrm>
                  <a:prstGeom prst="rect">
                    <a:avLst/>
                  </a:prstGeom>
                </pic:spPr>
              </pic:pic>
            </a:graphicData>
          </a:graphic>
        </wp:inline>
      </w:drawing>
    </w:r>
  </w:p>
  <w:p w14:paraId="62F355F8" w14:textId="77777777" w:rsidR="00AE52E7" w:rsidRPr="007F3DB4" w:rsidRDefault="007F3DB4" w:rsidP="00AE52E7">
    <w:pPr>
      <w:spacing w:after="0" w:line="240" w:lineRule="auto"/>
      <w:rPr>
        <w:rFonts w:ascii="Calibri" w:eastAsia="Times New Roman" w:hAnsi="Calibri" w:cs="Times New Roman"/>
        <w:b/>
        <w:bCs/>
        <w:color w:val="000000"/>
        <w:sz w:val="16"/>
        <w:szCs w:val="16"/>
        <w:lang w:eastAsia="pt-BR"/>
      </w:rPr>
    </w:pPr>
    <w:r w:rsidRPr="007F3DB4">
      <w:rPr>
        <w:rStyle w:val="Forte"/>
        <w:rFonts w:ascii="Calibri" w:hAnsi="Calibri"/>
        <w:color w:val="000000"/>
        <w:sz w:val="16"/>
        <w:szCs w:val="16"/>
      </w:rPr>
      <w:t xml:space="preserve">Responsável: Arnaldo Pedace - </w:t>
    </w:r>
    <w:proofErr w:type="gramStart"/>
    <w:r w:rsidRPr="007F3DB4">
      <w:rPr>
        <w:rStyle w:val="Forte"/>
        <w:rFonts w:ascii="Calibri" w:hAnsi="Calibri"/>
        <w:color w:val="000000"/>
        <w:sz w:val="16"/>
        <w:szCs w:val="16"/>
      </w:rPr>
      <w:t>Tel.(</w:t>
    </w:r>
    <w:proofErr w:type="gramEnd"/>
    <w:r w:rsidRPr="007F3DB4">
      <w:rPr>
        <w:rStyle w:val="Forte"/>
        <w:rFonts w:ascii="Calibri" w:hAnsi="Calibri"/>
        <w:color w:val="000000"/>
        <w:sz w:val="16"/>
        <w:szCs w:val="16"/>
      </w:rPr>
      <w:t>11) 3897-9751</w:t>
    </w:r>
    <w:r w:rsidR="00AE52E7" w:rsidRPr="007F3DB4">
      <w:rPr>
        <w:rFonts w:ascii="Calibri" w:eastAsia="Times New Roman" w:hAnsi="Calibri" w:cs="Times New Roman"/>
        <w:b/>
        <w:bCs/>
        <w:color w:val="000000"/>
        <w:sz w:val="16"/>
        <w:szCs w:val="16"/>
        <w:lang w:eastAsia="pt-BR"/>
      </w:rPr>
      <w:tab/>
    </w:r>
    <w:r w:rsidR="00AE52E7" w:rsidRPr="007F3DB4">
      <w:rPr>
        <w:rFonts w:ascii="Calibri" w:eastAsia="Times New Roman" w:hAnsi="Calibri" w:cs="Times New Roman"/>
        <w:b/>
        <w:bCs/>
        <w:color w:val="000000"/>
        <w:sz w:val="16"/>
        <w:szCs w:val="16"/>
        <w:lang w:eastAsia="pt-BR"/>
      </w:rPr>
      <w:tab/>
      <w:t xml:space="preserve">             </w:t>
    </w:r>
    <w:r w:rsidR="007339E3" w:rsidRPr="007F3DB4">
      <w:rPr>
        <w:rFonts w:ascii="Calibri" w:eastAsia="Times New Roman" w:hAnsi="Calibri" w:cs="Times New Roman"/>
        <w:b/>
        <w:bCs/>
        <w:color w:val="000000"/>
        <w:sz w:val="16"/>
        <w:szCs w:val="16"/>
        <w:lang w:eastAsia="pt-BR"/>
      </w:rPr>
      <w:t xml:space="preserve">                 </w:t>
    </w:r>
    <w:r>
      <w:rPr>
        <w:rFonts w:ascii="Calibri" w:eastAsia="Times New Roman" w:hAnsi="Calibri" w:cs="Times New Roman"/>
        <w:b/>
        <w:bCs/>
        <w:color w:val="000000"/>
        <w:sz w:val="16"/>
        <w:szCs w:val="16"/>
        <w:lang w:eastAsia="pt-BR"/>
      </w:rPr>
      <w:t xml:space="preserve">                    </w:t>
    </w:r>
    <w:r w:rsidR="007339E3" w:rsidRPr="007F3DB4">
      <w:rPr>
        <w:rFonts w:ascii="Calibri" w:eastAsia="Times New Roman" w:hAnsi="Calibri" w:cs="Times New Roman"/>
        <w:b/>
        <w:bCs/>
        <w:color w:val="000000"/>
        <w:sz w:val="16"/>
        <w:szCs w:val="16"/>
        <w:lang w:eastAsia="pt-BR"/>
      </w:rPr>
      <w:t xml:space="preserve"> </w:t>
    </w:r>
    <w:r w:rsidR="00AE52E7" w:rsidRPr="007F3DB4">
      <w:rPr>
        <w:rFonts w:ascii="Calibri" w:eastAsia="Times New Roman" w:hAnsi="Calibri" w:cs="Times New Roman"/>
        <w:b/>
        <w:bCs/>
        <w:color w:val="000000"/>
        <w:sz w:val="16"/>
        <w:szCs w:val="16"/>
        <w:lang w:eastAsia="pt-BR"/>
      </w:rPr>
      <w:t>Rua Alvorada, 1.280 - Vila Olímpia</w:t>
    </w:r>
  </w:p>
  <w:p w14:paraId="2C35FA37" w14:textId="77777777" w:rsidR="00AE52E7" w:rsidRPr="007F3DB4" w:rsidRDefault="007F3DB4" w:rsidP="00AE52E7">
    <w:pPr>
      <w:spacing w:after="0" w:line="240" w:lineRule="auto"/>
      <w:rPr>
        <w:rFonts w:ascii="Times New Roman" w:eastAsia="Times New Roman" w:hAnsi="Times New Roman" w:cs="Times New Roman"/>
        <w:color w:val="000000"/>
        <w:sz w:val="16"/>
        <w:szCs w:val="16"/>
        <w:lang w:eastAsia="pt-BR"/>
      </w:rPr>
    </w:pPr>
    <w:r w:rsidRPr="007F3DB4">
      <w:rPr>
        <w:rStyle w:val="Forte"/>
        <w:rFonts w:ascii="Calibri" w:hAnsi="Calibri"/>
        <w:color w:val="000000"/>
        <w:sz w:val="16"/>
        <w:szCs w:val="16"/>
      </w:rPr>
      <w:t>E-mail: apedace@sindusfarma.org.br - sindusfarma.org.br</w:t>
    </w:r>
    <w:r>
      <w:rPr>
        <w:rStyle w:val="Forte"/>
        <w:rFonts w:ascii="Calibri" w:hAnsi="Calibri"/>
        <w:color w:val="000000"/>
        <w:sz w:val="16"/>
        <w:szCs w:val="16"/>
      </w:rPr>
      <w:t xml:space="preserve">                                                                      </w:t>
    </w:r>
    <w:r w:rsidR="00AE52E7" w:rsidRPr="007F3DB4">
      <w:rPr>
        <w:rFonts w:ascii="Calibri" w:eastAsia="Times New Roman" w:hAnsi="Calibri" w:cs="Times New Roman"/>
        <w:b/>
        <w:bCs/>
        <w:color w:val="000000"/>
        <w:sz w:val="16"/>
        <w:szCs w:val="16"/>
        <w:lang w:eastAsia="pt-BR"/>
      </w:rPr>
      <w:t>São Paulo/SP - CEP 04550-004</w:t>
    </w:r>
  </w:p>
  <w:p w14:paraId="2DCCD1C5" w14:textId="77777777" w:rsidR="00AE52E7" w:rsidRDefault="00AE52E7">
    <w:pPr>
      <w:pStyle w:val="Rodap"/>
    </w:pPr>
  </w:p>
  <w:p w14:paraId="2598387A" w14:textId="77777777" w:rsidR="00AE52E7" w:rsidRDefault="00AE52E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3E33" w14:textId="77777777" w:rsidR="00814908" w:rsidRDefault="0081490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A973" w14:textId="77777777" w:rsidR="00CA76A5" w:rsidRDefault="00CA76A5" w:rsidP="00AE52E7">
      <w:pPr>
        <w:spacing w:after="0" w:line="240" w:lineRule="auto"/>
      </w:pPr>
      <w:r>
        <w:separator/>
      </w:r>
    </w:p>
  </w:footnote>
  <w:footnote w:type="continuationSeparator" w:id="0">
    <w:p w14:paraId="3D3F1EE4" w14:textId="77777777" w:rsidR="00CA76A5" w:rsidRDefault="00CA76A5" w:rsidP="00AE5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48F9" w14:textId="77777777" w:rsidR="00814908" w:rsidRDefault="0081490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2389" w14:textId="32EF2B39" w:rsidR="00AE52E7" w:rsidRDefault="0003237A">
    <w:pPr>
      <w:pStyle w:val="Cabealho"/>
    </w:pPr>
    <w:r>
      <w:rPr>
        <w:noProof/>
      </w:rPr>
      <w:drawing>
        <wp:inline distT="0" distB="0" distL="0" distR="0" wp14:anchorId="1C59F9F5" wp14:editId="70DB0D25">
          <wp:extent cx="5400040" cy="1211580"/>
          <wp:effectExtent l="0" t="0" r="0" b="7620"/>
          <wp:docPr id="11" name="Imagem 1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ntendo desenh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400040" cy="1211580"/>
                  </a:xfrm>
                  <a:prstGeom prst="rect">
                    <a:avLst/>
                  </a:prstGeom>
                </pic:spPr>
              </pic:pic>
            </a:graphicData>
          </a:graphic>
        </wp:inline>
      </w:drawing>
    </w:r>
  </w:p>
  <w:p w14:paraId="1C6E1DC8" w14:textId="7E51E54C" w:rsidR="00AE52E7" w:rsidRPr="00AE52E7" w:rsidRDefault="00AE52E7" w:rsidP="00AE52E7">
    <w:pPr>
      <w:pStyle w:val="Cabealho"/>
      <w:jc w:val="center"/>
      <w:rPr>
        <w:sz w:val="6"/>
        <w:szCs w:val="6"/>
      </w:rPr>
    </w:pPr>
    <w:r w:rsidRPr="00AE52E7">
      <w:rPr>
        <w:rStyle w:val="Forte"/>
        <w:rFonts w:ascii="Calibri" w:hAnsi="Calibri"/>
        <w:color w:val="000000"/>
        <w:sz w:val="16"/>
        <w:szCs w:val="16"/>
      </w:rPr>
      <w:t xml:space="preserve"> São Paulo, </w:t>
    </w:r>
    <w:r w:rsidR="00814908">
      <w:rPr>
        <w:rStyle w:val="Forte"/>
        <w:rFonts w:ascii="Calibri" w:hAnsi="Calibri"/>
        <w:color w:val="000000"/>
        <w:sz w:val="16"/>
        <w:szCs w:val="16"/>
      </w:rPr>
      <w:t>01</w:t>
    </w:r>
    <w:r w:rsidRPr="00AE52E7">
      <w:rPr>
        <w:rStyle w:val="Forte"/>
        <w:rFonts w:ascii="Calibri" w:hAnsi="Calibri"/>
        <w:color w:val="000000"/>
        <w:sz w:val="16"/>
        <w:szCs w:val="16"/>
      </w:rPr>
      <w:t xml:space="preserve"> de</w:t>
    </w:r>
    <w:r w:rsidR="00A97091">
      <w:rPr>
        <w:rStyle w:val="Forte"/>
        <w:rFonts w:ascii="Calibri" w:hAnsi="Calibri"/>
        <w:color w:val="000000"/>
        <w:sz w:val="16"/>
        <w:szCs w:val="16"/>
      </w:rPr>
      <w:t xml:space="preserve"> </w:t>
    </w:r>
    <w:r w:rsidR="00814908">
      <w:rPr>
        <w:rStyle w:val="Forte"/>
        <w:rFonts w:ascii="Calibri" w:hAnsi="Calibri"/>
        <w:color w:val="000000"/>
        <w:sz w:val="16"/>
        <w:szCs w:val="16"/>
      </w:rPr>
      <w:t>agosto</w:t>
    </w:r>
    <w:r w:rsidR="003F60AE">
      <w:rPr>
        <w:rStyle w:val="Forte"/>
        <w:rFonts w:ascii="Calibri" w:hAnsi="Calibri"/>
        <w:color w:val="000000"/>
        <w:sz w:val="16"/>
        <w:szCs w:val="16"/>
      </w:rPr>
      <w:t xml:space="preserve"> </w:t>
    </w:r>
    <w:r w:rsidRPr="00AE52E7">
      <w:rPr>
        <w:rStyle w:val="Forte"/>
        <w:rFonts w:ascii="Calibri" w:hAnsi="Calibri"/>
        <w:color w:val="000000"/>
        <w:sz w:val="16"/>
        <w:szCs w:val="16"/>
      </w:rPr>
      <w:t>de 20</w:t>
    </w:r>
    <w:r w:rsidR="00625C61">
      <w:rPr>
        <w:rStyle w:val="Forte"/>
        <w:rFonts w:ascii="Calibri" w:hAnsi="Calibri"/>
        <w:color w:val="000000"/>
        <w:sz w:val="16"/>
        <w:szCs w:val="16"/>
      </w:rPr>
      <w:t>2</w:t>
    </w:r>
    <w:r w:rsidR="00D22416">
      <w:rPr>
        <w:rStyle w:val="Forte"/>
        <w:rFonts w:ascii="Calibri" w:hAnsi="Calibri"/>
        <w:color w:val="000000"/>
        <w:sz w:val="16"/>
        <w:szCs w:val="16"/>
      </w:rPr>
      <w:t>2</w:t>
    </w:r>
    <w:r w:rsidR="007F3DB4">
      <w:rPr>
        <w:noProof/>
        <w:sz w:val="6"/>
        <w:szCs w:val="6"/>
        <w:lang w:eastAsia="pt-BR"/>
      </w:rPr>
      <w:drawing>
        <wp:inline distT="0" distB="0" distL="0" distR="0" wp14:anchorId="798FC45D" wp14:editId="1B6D20D8">
          <wp:extent cx="5400040" cy="17780"/>
          <wp:effectExtent l="0" t="0" r="0" b="127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ST-linha.png"/>
                  <pic:cNvPicPr/>
                </pic:nvPicPr>
                <pic:blipFill>
                  <a:blip r:embed="rId2">
                    <a:extLst>
                      <a:ext uri="{28A0092B-C50C-407E-A947-70E740481C1C}">
                        <a14:useLocalDpi xmlns:a14="http://schemas.microsoft.com/office/drawing/2010/main" val="0"/>
                      </a:ext>
                    </a:extLst>
                  </a:blip>
                  <a:stretch>
                    <a:fillRect/>
                  </a:stretch>
                </pic:blipFill>
                <pic:spPr>
                  <a:xfrm>
                    <a:off x="0" y="0"/>
                    <a:ext cx="5400040" cy="177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5EC5" w14:textId="77777777" w:rsidR="00814908" w:rsidRDefault="0081490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B0E"/>
    <w:multiLevelType w:val="multilevel"/>
    <w:tmpl w:val="3118B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F32CD"/>
    <w:multiLevelType w:val="multilevel"/>
    <w:tmpl w:val="27EA9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26953"/>
    <w:multiLevelType w:val="hybridMultilevel"/>
    <w:tmpl w:val="C0F895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2132014"/>
    <w:multiLevelType w:val="hybridMultilevel"/>
    <w:tmpl w:val="AB882052"/>
    <w:lvl w:ilvl="0" w:tplc="0966039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125FFA"/>
    <w:multiLevelType w:val="multilevel"/>
    <w:tmpl w:val="ABD6C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21EFB"/>
    <w:multiLevelType w:val="hybridMultilevel"/>
    <w:tmpl w:val="97E6E7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5B6E5B"/>
    <w:multiLevelType w:val="hybridMultilevel"/>
    <w:tmpl w:val="DD743C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39D6698"/>
    <w:multiLevelType w:val="multilevel"/>
    <w:tmpl w:val="6584E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E3E79"/>
    <w:multiLevelType w:val="hybridMultilevel"/>
    <w:tmpl w:val="E296167A"/>
    <w:lvl w:ilvl="0" w:tplc="04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1559F7"/>
    <w:multiLevelType w:val="hybridMultilevel"/>
    <w:tmpl w:val="1EAAA9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2B1709"/>
    <w:multiLevelType w:val="multilevel"/>
    <w:tmpl w:val="BECE5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AD66AA"/>
    <w:multiLevelType w:val="multilevel"/>
    <w:tmpl w:val="92122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820D85"/>
    <w:multiLevelType w:val="multilevel"/>
    <w:tmpl w:val="96F26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F21374"/>
    <w:multiLevelType w:val="multilevel"/>
    <w:tmpl w:val="F0C20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A024D"/>
    <w:multiLevelType w:val="multilevel"/>
    <w:tmpl w:val="00A65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04E4944"/>
    <w:multiLevelType w:val="multilevel"/>
    <w:tmpl w:val="00540D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7F3F14"/>
    <w:multiLevelType w:val="multilevel"/>
    <w:tmpl w:val="67189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BF5B06"/>
    <w:multiLevelType w:val="multilevel"/>
    <w:tmpl w:val="58E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F74686"/>
    <w:multiLevelType w:val="hybridMultilevel"/>
    <w:tmpl w:val="8D6AC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8327B36"/>
    <w:multiLevelType w:val="hybridMultilevel"/>
    <w:tmpl w:val="308CC7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4C1D7F"/>
    <w:multiLevelType w:val="hybridMultilevel"/>
    <w:tmpl w:val="837CA406"/>
    <w:lvl w:ilvl="0" w:tplc="04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B3332DB"/>
    <w:multiLevelType w:val="multilevel"/>
    <w:tmpl w:val="85A0F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05A15"/>
    <w:multiLevelType w:val="multilevel"/>
    <w:tmpl w:val="2DD6B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9"/>
  </w:num>
  <w:num w:numId="5">
    <w:abstractNumId w:val="8"/>
  </w:num>
  <w:num w:numId="6">
    <w:abstractNumId w:val="19"/>
  </w:num>
  <w:num w:numId="7">
    <w:abstractNumId w:val="20"/>
  </w:num>
  <w:num w:numId="8">
    <w:abstractNumId w:val="15"/>
  </w:num>
  <w:num w:numId="9">
    <w:abstractNumId w:val="18"/>
  </w:num>
  <w:num w:numId="10">
    <w:abstractNumId w:val="5"/>
  </w:num>
  <w:num w:numId="11">
    <w:abstractNumId w:val="4"/>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16"/>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13"/>
    <w:lvlOverride w:ilvl="0"/>
    <w:lvlOverride w:ilvl="1"/>
    <w:lvlOverride w:ilvl="2"/>
    <w:lvlOverride w:ilvl="3"/>
    <w:lvlOverride w:ilvl="4"/>
    <w:lvlOverride w:ilvl="5"/>
    <w:lvlOverride w:ilvl="6"/>
    <w:lvlOverride w:ilvl="7"/>
    <w:lvlOverride w:ilv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lvlOverride w:ilvl="2"/>
    <w:lvlOverride w:ilvl="3"/>
    <w:lvlOverride w:ilvl="4"/>
    <w:lvlOverride w:ilvl="5"/>
    <w:lvlOverride w:ilvl="6"/>
    <w:lvlOverride w:ilvl="7"/>
    <w:lvlOverride w:ilvl="8"/>
  </w:num>
  <w:num w:numId="19">
    <w:abstractNumId w:val="21"/>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22"/>
    <w:lvlOverride w:ilvl="0"/>
    <w:lvlOverride w:ilvl="1"/>
    <w:lvlOverride w:ilvl="2"/>
    <w:lvlOverride w:ilvl="3"/>
    <w:lvlOverride w:ilvl="4"/>
    <w:lvlOverride w:ilvl="5"/>
    <w:lvlOverride w:ilvl="6"/>
    <w:lvlOverride w:ilvl="7"/>
    <w:lvlOverride w:ilvl="8"/>
  </w:num>
  <w:num w:numId="2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E7"/>
    <w:rsid w:val="0000343E"/>
    <w:rsid w:val="00014A7F"/>
    <w:rsid w:val="0003237A"/>
    <w:rsid w:val="0004250A"/>
    <w:rsid w:val="00052B5A"/>
    <w:rsid w:val="000B4C96"/>
    <w:rsid w:val="000D7B36"/>
    <w:rsid w:val="000F0974"/>
    <w:rsid w:val="001051E8"/>
    <w:rsid w:val="001275A4"/>
    <w:rsid w:val="00163118"/>
    <w:rsid w:val="001729FA"/>
    <w:rsid w:val="00193308"/>
    <w:rsid w:val="001A785D"/>
    <w:rsid w:val="001B2BF4"/>
    <w:rsid w:val="001D5059"/>
    <w:rsid w:val="001F784F"/>
    <w:rsid w:val="00232CF7"/>
    <w:rsid w:val="00292103"/>
    <w:rsid w:val="002B242B"/>
    <w:rsid w:val="002B6E32"/>
    <w:rsid w:val="002F6F59"/>
    <w:rsid w:val="00354775"/>
    <w:rsid w:val="0038471D"/>
    <w:rsid w:val="003A6AA6"/>
    <w:rsid w:val="003B0FD0"/>
    <w:rsid w:val="003F60AE"/>
    <w:rsid w:val="00417199"/>
    <w:rsid w:val="00422F0F"/>
    <w:rsid w:val="00426D6C"/>
    <w:rsid w:val="00457019"/>
    <w:rsid w:val="00465FC3"/>
    <w:rsid w:val="00467E17"/>
    <w:rsid w:val="00472728"/>
    <w:rsid w:val="00475B5D"/>
    <w:rsid w:val="004C49EC"/>
    <w:rsid w:val="00506814"/>
    <w:rsid w:val="00517BBE"/>
    <w:rsid w:val="005D3DE6"/>
    <w:rsid w:val="005E5169"/>
    <w:rsid w:val="00625C61"/>
    <w:rsid w:val="00681DC8"/>
    <w:rsid w:val="006D15B0"/>
    <w:rsid w:val="006D46FE"/>
    <w:rsid w:val="00701877"/>
    <w:rsid w:val="007339E3"/>
    <w:rsid w:val="0078262A"/>
    <w:rsid w:val="007D16BB"/>
    <w:rsid w:val="007E2F67"/>
    <w:rsid w:val="007F10CD"/>
    <w:rsid w:val="007F3DB4"/>
    <w:rsid w:val="007F741D"/>
    <w:rsid w:val="00814908"/>
    <w:rsid w:val="008244E1"/>
    <w:rsid w:val="00824B47"/>
    <w:rsid w:val="00834116"/>
    <w:rsid w:val="00857A6B"/>
    <w:rsid w:val="00861845"/>
    <w:rsid w:val="008939C2"/>
    <w:rsid w:val="00894CA7"/>
    <w:rsid w:val="008A07B6"/>
    <w:rsid w:val="008C6556"/>
    <w:rsid w:val="008E1330"/>
    <w:rsid w:val="008E6667"/>
    <w:rsid w:val="008F6FEB"/>
    <w:rsid w:val="00947064"/>
    <w:rsid w:val="00995C1C"/>
    <w:rsid w:val="00A35FA2"/>
    <w:rsid w:val="00A57962"/>
    <w:rsid w:val="00A676EE"/>
    <w:rsid w:val="00A90008"/>
    <w:rsid w:val="00A97091"/>
    <w:rsid w:val="00AA1F1C"/>
    <w:rsid w:val="00AB27AA"/>
    <w:rsid w:val="00AB296A"/>
    <w:rsid w:val="00AD5F54"/>
    <w:rsid w:val="00AE52E7"/>
    <w:rsid w:val="00AF3C8E"/>
    <w:rsid w:val="00B16274"/>
    <w:rsid w:val="00B30F63"/>
    <w:rsid w:val="00B31444"/>
    <w:rsid w:val="00B86EE9"/>
    <w:rsid w:val="00BA203F"/>
    <w:rsid w:val="00BD29F1"/>
    <w:rsid w:val="00BF5F1A"/>
    <w:rsid w:val="00C065BB"/>
    <w:rsid w:val="00C158A6"/>
    <w:rsid w:val="00C33FAD"/>
    <w:rsid w:val="00CA76A5"/>
    <w:rsid w:val="00CB3F2B"/>
    <w:rsid w:val="00D22416"/>
    <w:rsid w:val="00D45E2D"/>
    <w:rsid w:val="00D710B3"/>
    <w:rsid w:val="00D855AE"/>
    <w:rsid w:val="00DA33FF"/>
    <w:rsid w:val="00DC09A0"/>
    <w:rsid w:val="00DC5768"/>
    <w:rsid w:val="00DE6429"/>
    <w:rsid w:val="00E2391F"/>
    <w:rsid w:val="00E835BA"/>
    <w:rsid w:val="00EA442E"/>
    <w:rsid w:val="00F06B0F"/>
    <w:rsid w:val="00F500A4"/>
    <w:rsid w:val="00F61F36"/>
    <w:rsid w:val="00F622D3"/>
    <w:rsid w:val="00FA52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275F5"/>
  <w15:docId w15:val="{4416C47D-65D1-48C1-96DB-942F03FC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CB3F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uiPriority w:val="9"/>
    <w:qFormat/>
    <w:rsid w:val="00DC09A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DC09A0"/>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spacing w:after="0" w:line="240" w:lineRule="auto"/>
    </w:p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styleId="PargrafodaLista">
    <w:name w:val="List Paragraph"/>
    <w:basedOn w:val="Normal"/>
    <w:uiPriority w:val="34"/>
    <w:qFormat/>
    <w:rsid w:val="00052B5A"/>
    <w:pPr>
      <w:ind w:left="720"/>
      <w:contextualSpacing/>
    </w:pPr>
  </w:style>
  <w:style w:type="character" w:styleId="Hyperlink">
    <w:name w:val="Hyperlink"/>
    <w:basedOn w:val="Fontepargpadro"/>
    <w:uiPriority w:val="99"/>
    <w:unhideWhenUsed/>
    <w:rsid w:val="001F784F"/>
    <w:rPr>
      <w:color w:val="0000FF" w:themeColor="hyperlink"/>
      <w:u w:val="single"/>
    </w:rPr>
  </w:style>
  <w:style w:type="character" w:styleId="MenoPendente">
    <w:name w:val="Unresolved Mention"/>
    <w:basedOn w:val="Fontepargpadro"/>
    <w:uiPriority w:val="99"/>
    <w:semiHidden/>
    <w:unhideWhenUsed/>
    <w:rsid w:val="001F784F"/>
    <w:rPr>
      <w:color w:val="605E5C"/>
      <w:shd w:val="clear" w:color="auto" w:fill="E1DFDD"/>
    </w:rPr>
  </w:style>
  <w:style w:type="paragraph" w:styleId="Textodenotaderodap">
    <w:name w:val="footnote text"/>
    <w:basedOn w:val="Normal"/>
    <w:link w:val="TextodenotaderodapChar"/>
    <w:uiPriority w:val="99"/>
    <w:semiHidden/>
    <w:unhideWhenUsed/>
    <w:rsid w:val="001F784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F784F"/>
    <w:rPr>
      <w:sz w:val="20"/>
      <w:szCs w:val="20"/>
    </w:rPr>
  </w:style>
  <w:style w:type="character" w:styleId="Refdenotaderodap">
    <w:name w:val="footnote reference"/>
    <w:basedOn w:val="Fontepargpadro"/>
    <w:uiPriority w:val="99"/>
    <w:semiHidden/>
    <w:unhideWhenUsed/>
    <w:rsid w:val="001F784F"/>
    <w:rPr>
      <w:vertAlign w:val="superscript"/>
    </w:rPr>
  </w:style>
  <w:style w:type="character" w:customStyle="1" w:styleId="Ttulo3Char">
    <w:name w:val="Título 3 Char"/>
    <w:basedOn w:val="Fontepargpadro"/>
    <w:link w:val="Ttulo3"/>
    <w:uiPriority w:val="9"/>
    <w:rsid w:val="00DC09A0"/>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DC09A0"/>
    <w:rPr>
      <w:rFonts w:ascii="Times New Roman" w:eastAsia="Times New Roman" w:hAnsi="Times New Roman" w:cs="Times New Roman"/>
      <w:b/>
      <w:bCs/>
      <w:sz w:val="24"/>
      <w:szCs w:val="24"/>
      <w:lang w:eastAsia="pt-BR"/>
    </w:rPr>
  </w:style>
  <w:style w:type="paragraph" w:styleId="NormalWeb">
    <w:name w:val="Normal (Web)"/>
    <w:basedOn w:val="Normal"/>
    <w:uiPriority w:val="99"/>
    <w:unhideWhenUsed/>
    <w:rsid w:val="00DC09A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422F0F"/>
    <w:rPr>
      <w:color w:val="800080" w:themeColor="followedHyperlink"/>
      <w:u w:val="single"/>
    </w:rPr>
  </w:style>
  <w:style w:type="character" w:customStyle="1" w:styleId="Ttulo1Char">
    <w:name w:val="Título 1 Char"/>
    <w:basedOn w:val="Fontepargpadro"/>
    <w:link w:val="Ttulo1"/>
    <w:uiPriority w:val="9"/>
    <w:rsid w:val="00CB3F2B"/>
    <w:rPr>
      <w:rFonts w:asciiTheme="majorHAnsi" w:eastAsiaTheme="majorEastAsia" w:hAnsiTheme="majorHAnsi" w:cstheme="majorBidi"/>
      <w:color w:val="365F91" w:themeColor="accent1" w:themeShade="BF"/>
      <w:sz w:val="32"/>
      <w:szCs w:val="32"/>
    </w:rPr>
  </w:style>
  <w:style w:type="character" w:styleId="nfase">
    <w:name w:val="Emphasis"/>
    <w:basedOn w:val="Fontepargpadro"/>
    <w:uiPriority w:val="20"/>
    <w:qFormat/>
    <w:rsid w:val="008149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352">
      <w:bodyDiv w:val="1"/>
      <w:marLeft w:val="0"/>
      <w:marRight w:val="0"/>
      <w:marTop w:val="0"/>
      <w:marBottom w:val="0"/>
      <w:divBdr>
        <w:top w:val="none" w:sz="0" w:space="0" w:color="auto"/>
        <w:left w:val="none" w:sz="0" w:space="0" w:color="auto"/>
        <w:bottom w:val="none" w:sz="0" w:space="0" w:color="auto"/>
        <w:right w:val="none" w:sz="0" w:space="0" w:color="auto"/>
      </w:divBdr>
    </w:div>
    <w:div w:id="46877992">
      <w:bodyDiv w:val="1"/>
      <w:marLeft w:val="0"/>
      <w:marRight w:val="0"/>
      <w:marTop w:val="0"/>
      <w:marBottom w:val="0"/>
      <w:divBdr>
        <w:top w:val="none" w:sz="0" w:space="0" w:color="auto"/>
        <w:left w:val="none" w:sz="0" w:space="0" w:color="auto"/>
        <w:bottom w:val="none" w:sz="0" w:space="0" w:color="auto"/>
        <w:right w:val="none" w:sz="0" w:space="0" w:color="auto"/>
      </w:divBdr>
    </w:div>
    <w:div w:id="129441729">
      <w:bodyDiv w:val="1"/>
      <w:marLeft w:val="0"/>
      <w:marRight w:val="0"/>
      <w:marTop w:val="0"/>
      <w:marBottom w:val="0"/>
      <w:divBdr>
        <w:top w:val="none" w:sz="0" w:space="0" w:color="auto"/>
        <w:left w:val="none" w:sz="0" w:space="0" w:color="auto"/>
        <w:bottom w:val="none" w:sz="0" w:space="0" w:color="auto"/>
        <w:right w:val="none" w:sz="0" w:space="0" w:color="auto"/>
      </w:divBdr>
    </w:div>
    <w:div w:id="239993229">
      <w:bodyDiv w:val="1"/>
      <w:marLeft w:val="0"/>
      <w:marRight w:val="0"/>
      <w:marTop w:val="0"/>
      <w:marBottom w:val="0"/>
      <w:divBdr>
        <w:top w:val="none" w:sz="0" w:space="0" w:color="auto"/>
        <w:left w:val="none" w:sz="0" w:space="0" w:color="auto"/>
        <w:bottom w:val="none" w:sz="0" w:space="0" w:color="auto"/>
        <w:right w:val="none" w:sz="0" w:space="0" w:color="auto"/>
      </w:divBdr>
    </w:div>
    <w:div w:id="399257973">
      <w:bodyDiv w:val="1"/>
      <w:marLeft w:val="0"/>
      <w:marRight w:val="0"/>
      <w:marTop w:val="0"/>
      <w:marBottom w:val="0"/>
      <w:divBdr>
        <w:top w:val="none" w:sz="0" w:space="0" w:color="auto"/>
        <w:left w:val="none" w:sz="0" w:space="0" w:color="auto"/>
        <w:bottom w:val="none" w:sz="0" w:space="0" w:color="auto"/>
        <w:right w:val="none" w:sz="0" w:space="0" w:color="auto"/>
      </w:divBdr>
    </w:div>
    <w:div w:id="406616229">
      <w:bodyDiv w:val="1"/>
      <w:marLeft w:val="0"/>
      <w:marRight w:val="0"/>
      <w:marTop w:val="0"/>
      <w:marBottom w:val="0"/>
      <w:divBdr>
        <w:top w:val="none" w:sz="0" w:space="0" w:color="auto"/>
        <w:left w:val="none" w:sz="0" w:space="0" w:color="auto"/>
        <w:bottom w:val="none" w:sz="0" w:space="0" w:color="auto"/>
        <w:right w:val="none" w:sz="0" w:space="0" w:color="auto"/>
      </w:divBdr>
    </w:div>
    <w:div w:id="467086911">
      <w:bodyDiv w:val="1"/>
      <w:marLeft w:val="0"/>
      <w:marRight w:val="0"/>
      <w:marTop w:val="0"/>
      <w:marBottom w:val="0"/>
      <w:divBdr>
        <w:top w:val="none" w:sz="0" w:space="0" w:color="auto"/>
        <w:left w:val="none" w:sz="0" w:space="0" w:color="auto"/>
        <w:bottom w:val="none" w:sz="0" w:space="0" w:color="auto"/>
        <w:right w:val="none" w:sz="0" w:space="0" w:color="auto"/>
      </w:divBdr>
    </w:div>
    <w:div w:id="481890151">
      <w:bodyDiv w:val="1"/>
      <w:marLeft w:val="0"/>
      <w:marRight w:val="0"/>
      <w:marTop w:val="0"/>
      <w:marBottom w:val="0"/>
      <w:divBdr>
        <w:top w:val="none" w:sz="0" w:space="0" w:color="auto"/>
        <w:left w:val="none" w:sz="0" w:space="0" w:color="auto"/>
        <w:bottom w:val="none" w:sz="0" w:space="0" w:color="auto"/>
        <w:right w:val="none" w:sz="0" w:space="0" w:color="auto"/>
      </w:divBdr>
      <w:divsChild>
        <w:div w:id="96945121">
          <w:marLeft w:val="0"/>
          <w:marRight w:val="0"/>
          <w:marTop w:val="0"/>
          <w:marBottom w:val="0"/>
          <w:divBdr>
            <w:top w:val="none" w:sz="0" w:space="0" w:color="auto"/>
            <w:left w:val="none" w:sz="0" w:space="0" w:color="auto"/>
            <w:bottom w:val="none" w:sz="0" w:space="0" w:color="auto"/>
            <w:right w:val="none" w:sz="0" w:space="0" w:color="auto"/>
          </w:divBdr>
        </w:div>
      </w:divsChild>
    </w:div>
    <w:div w:id="523519914">
      <w:bodyDiv w:val="1"/>
      <w:marLeft w:val="0"/>
      <w:marRight w:val="0"/>
      <w:marTop w:val="0"/>
      <w:marBottom w:val="0"/>
      <w:divBdr>
        <w:top w:val="none" w:sz="0" w:space="0" w:color="auto"/>
        <w:left w:val="none" w:sz="0" w:space="0" w:color="auto"/>
        <w:bottom w:val="none" w:sz="0" w:space="0" w:color="auto"/>
        <w:right w:val="none" w:sz="0" w:space="0" w:color="auto"/>
      </w:divBdr>
    </w:div>
    <w:div w:id="639962355">
      <w:bodyDiv w:val="1"/>
      <w:marLeft w:val="0"/>
      <w:marRight w:val="0"/>
      <w:marTop w:val="0"/>
      <w:marBottom w:val="0"/>
      <w:divBdr>
        <w:top w:val="none" w:sz="0" w:space="0" w:color="auto"/>
        <w:left w:val="none" w:sz="0" w:space="0" w:color="auto"/>
        <w:bottom w:val="none" w:sz="0" w:space="0" w:color="auto"/>
        <w:right w:val="none" w:sz="0" w:space="0" w:color="auto"/>
      </w:divBdr>
    </w:div>
    <w:div w:id="737481884">
      <w:bodyDiv w:val="1"/>
      <w:marLeft w:val="0"/>
      <w:marRight w:val="0"/>
      <w:marTop w:val="0"/>
      <w:marBottom w:val="0"/>
      <w:divBdr>
        <w:top w:val="none" w:sz="0" w:space="0" w:color="auto"/>
        <w:left w:val="none" w:sz="0" w:space="0" w:color="auto"/>
        <w:bottom w:val="none" w:sz="0" w:space="0" w:color="auto"/>
        <w:right w:val="none" w:sz="0" w:space="0" w:color="auto"/>
      </w:divBdr>
    </w:div>
    <w:div w:id="740565932">
      <w:bodyDiv w:val="1"/>
      <w:marLeft w:val="0"/>
      <w:marRight w:val="0"/>
      <w:marTop w:val="0"/>
      <w:marBottom w:val="0"/>
      <w:divBdr>
        <w:top w:val="none" w:sz="0" w:space="0" w:color="auto"/>
        <w:left w:val="none" w:sz="0" w:space="0" w:color="auto"/>
        <w:bottom w:val="none" w:sz="0" w:space="0" w:color="auto"/>
        <w:right w:val="none" w:sz="0" w:space="0" w:color="auto"/>
      </w:divBdr>
    </w:div>
    <w:div w:id="775246537">
      <w:bodyDiv w:val="1"/>
      <w:marLeft w:val="0"/>
      <w:marRight w:val="0"/>
      <w:marTop w:val="0"/>
      <w:marBottom w:val="0"/>
      <w:divBdr>
        <w:top w:val="none" w:sz="0" w:space="0" w:color="auto"/>
        <w:left w:val="none" w:sz="0" w:space="0" w:color="auto"/>
        <w:bottom w:val="none" w:sz="0" w:space="0" w:color="auto"/>
        <w:right w:val="none" w:sz="0" w:space="0" w:color="auto"/>
      </w:divBdr>
    </w:div>
    <w:div w:id="856432008">
      <w:bodyDiv w:val="1"/>
      <w:marLeft w:val="0"/>
      <w:marRight w:val="0"/>
      <w:marTop w:val="0"/>
      <w:marBottom w:val="0"/>
      <w:divBdr>
        <w:top w:val="none" w:sz="0" w:space="0" w:color="auto"/>
        <w:left w:val="none" w:sz="0" w:space="0" w:color="auto"/>
        <w:bottom w:val="none" w:sz="0" w:space="0" w:color="auto"/>
        <w:right w:val="none" w:sz="0" w:space="0" w:color="auto"/>
      </w:divBdr>
    </w:div>
    <w:div w:id="901404222">
      <w:bodyDiv w:val="1"/>
      <w:marLeft w:val="0"/>
      <w:marRight w:val="0"/>
      <w:marTop w:val="0"/>
      <w:marBottom w:val="0"/>
      <w:divBdr>
        <w:top w:val="none" w:sz="0" w:space="0" w:color="auto"/>
        <w:left w:val="none" w:sz="0" w:space="0" w:color="auto"/>
        <w:bottom w:val="none" w:sz="0" w:space="0" w:color="auto"/>
        <w:right w:val="none" w:sz="0" w:space="0" w:color="auto"/>
      </w:divBdr>
    </w:div>
    <w:div w:id="941567052">
      <w:bodyDiv w:val="1"/>
      <w:marLeft w:val="0"/>
      <w:marRight w:val="0"/>
      <w:marTop w:val="0"/>
      <w:marBottom w:val="0"/>
      <w:divBdr>
        <w:top w:val="none" w:sz="0" w:space="0" w:color="auto"/>
        <w:left w:val="none" w:sz="0" w:space="0" w:color="auto"/>
        <w:bottom w:val="none" w:sz="0" w:space="0" w:color="auto"/>
        <w:right w:val="none" w:sz="0" w:space="0" w:color="auto"/>
      </w:divBdr>
    </w:div>
    <w:div w:id="1110322977">
      <w:bodyDiv w:val="1"/>
      <w:marLeft w:val="0"/>
      <w:marRight w:val="0"/>
      <w:marTop w:val="0"/>
      <w:marBottom w:val="0"/>
      <w:divBdr>
        <w:top w:val="none" w:sz="0" w:space="0" w:color="auto"/>
        <w:left w:val="none" w:sz="0" w:space="0" w:color="auto"/>
        <w:bottom w:val="none" w:sz="0" w:space="0" w:color="auto"/>
        <w:right w:val="none" w:sz="0" w:space="0" w:color="auto"/>
      </w:divBdr>
    </w:div>
    <w:div w:id="1227842949">
      <w:bodyDiv w:val="1"/>
      <w:marLeft w:val="0"/>
      <w:marRight w:val="0"/>
      <w:marTop w:val="0"/>
      <w:marBottom w:val="0"/>
      <w:divBdr>
        <w:top w:val="none" w:sz="0" w:space="0" w:color="auto"/>
        <w:left w:val="none" w:sz="0" w:space="0" w:color="auto"/>
        <w:bottom w:val="none" w:sz="0" w:space="0" w:color="auto"/>
        <w:right w:val="none" w:sz="0" w:space="0" w:color="auto"/>
      </w:divBdr>
    </w:div>
    <w:div w:id="1325351484">
      <w:bodyDiv w:val="1"/>
      <w:marLeft w:val="0"/>
      <w:marRight w:val="0"/>
      <w:marTop w:val="0"/>
      <w:marBottom w:val="0"/>
      <w:divBdr>
        <w:top w:val="none" w:sz="0" w:space="0" w:color="auto"/>
        <w:left w:val="none" w:sz="0" w:space="0" w:color="auto"/>
        <w:bottom w:val="none" w:sz="0" w:space="0" w:color="auto"/>
        <w:right w:val="none" w:sz="0" w:space="0" w:color="auto"/>
      </w:divBdr>
    </w:div>
    <w:div w:id="1343705218">
      <w:bodyDiv w:val="1"/>
      <w:marLeft w:val="0"/>
      <w:marRight w:val="0"/>
      <w:marTop w:val="0"/>
      <w:marBottom w:val="0"/>
      <w:divBdr>
        <w:top w:val="none" w:sz="0" w:space="0" w:color="auto"/>
        <w:left w:val="none" w:sz="0" w:space="0" w:color="auto"/>
        <w:bottom w:val="none" w:sz="0" w:space="0" w:color="auto"/>
        <w:right w:val="none" w:sz="0" w:space="0" w:color="auto"/>
      </w:divBdr>
    </w:div>
    <w:div w:id="1414401451">
      <w:bodyDiv w:val="1"/>
      <w:marLeft w:val="0"/>
      <w:marRight w:val="0"/>
      <w:marTop w:val="0"/>
      <w:marBottom w:val="0"/>
      <w:divBdr>
        <w:top w:val="none" w:sz="0" w:space="0" w:color="auto"/>
        <w:left w:val="none" w:sz="0" w:space="0" w:color="auto"/>
        <w:bottom w:val="none" w:sz="0" w:space="0" w:color="auto"/>
        <w:right w:val="none" w:sz="0" w:space="0" w:color="auto"/>
      </w:divBdr>
    </w:div>
    <w:div w:id="1643460567">
      <w:bodyDiv w:val="1"/>
      <w:marLeft w:val="0"/>
      <w:marRight w:val="0"/>
      <w:marTop w:val="0"/>
      <w:marBottom w:val="0"/>
      <w:divBdr>
        <w:top w:val="none" w:sz="0" w:space="0" w:color="auto"/>
        <w:left w:val="none" w:sz="0" w:space="0" w:color="auto"/>
        <w:bottom w:val="none" w:sz="0" w:space="0" w:color="auto"/>
        <w:right w:val="none" w:sz="0" w:space="0" w:color="auto"/>
      </w:divBdr>
    </w:div>
    <w:div w:id="1663655073">
      <w:bodyDiv w:val="1"/>
      <w:marLeft w:val="0"/>
      <w:marRight w:val="0"/>
      <w:marTop w:val="0"/>
      <w:marBottom w:val="0"/>
      <w:divBdr>
        <w:top w:val="none" w:sz="0" w:space="0" w:color="auto"/>
        <w:left w:val="none" w:sz="0" w:space="0" w:color="auto"/>
        <w:bottom w:val="none" w:sz="0" w:space="0" w:color="auto"/>
        <w:right w:val="none" w:sz="0" w:space="0" w:color="auto"/>
      </w:divBdr>
    </w:div>
    <w:div w:id="1699158851">
      <w:bodyDiv w:val="1"/>
      <w:marLeft w:val="0"/>
      <w:marRight w:val="0"/>
      <w:marTop w:val="0"/>
      <w:marBottom w:val="0"/>
      <w:divBdr>
        <w:top w:val="none" w:sz="0" w:space="0" w:color="auto"/>
        <w:left w:val="none" w:sz="0" w:space="0" w:color="auto"/>
        <w:bottom w:val="none" w:sz="0" w:space="0" w:color="auto"/>
        <w:right w:val="none" w:sz="0" w:space="0" w:color="auto"/>
      </w:divBdr>
    </w:div>
    <w:div w:id="1699965782">
      <w:bodyDiv w:val="1"/>
      <w:marLeft w:val="0"/>
      <w:marRight w:val="0"/>
      <w:marTop w:val="0"/>
      <w:marBottom w:val="0"/>
      <w:divBdr>
        <w:top w:val="none" w:sz="0" w:space="0" w:color="auto"/>
        <w:left w:val="none" w:sz="0" w:space="0" w:color="auto"/>
        <w:bottom w:val="none" w:sz="0" w:space="0" w:color="auto"/>
        <w:right w:val="none" w:sz="0" w:space="0" w:color="auto"/>
      </w:divBdr>
    </w:div>
    <w:div w:id="1756321892">
      <w:bodyDiv w:val="1"/>
      <w:marLeft w:val="0"/>
      <w:marRight w:val="0"/>
      <w:marTop w:val="0"/>
      <w:marBottom w:val="0"/>
      <w:divBdr>
        <w:top w:val="none" w:sz="0" w:space="0" w:color="auto"/>
        <w:left w:val="none" w:sz="0" w:space="0" w:color="auto"/>
        <w:bottom w:val="none" w:sz="0" w:space="0" w:color="auto"/>
        <w:right w:val="none" w:sz="0" w:space="0" w:color="auto"/>
      </w:divBdr>
    </w:div>
    <w:div w:id="1760829862">
      <w:bodyDiv w:val="1"/>
      <w:marLeft w:val="0"/>
      <w:marRight w:val="0"/>
      <w:marTop w:val="0"/>
      <w:marBottom w:val="0"/>
      <w:divBdr>
        <w:top w:val="none" w:sz="0" w:space="0" w:color="auto"/>
        <w:left w:val="none" w:sz="0" w:space="0" w:color="auto"/>
        <w:bottom w:val="none" w:sz="0" w:space="0" w:color="auto"/>
        <w:right w:val="none" w:sz="0" w:space="0" w:color="auto"/>
      </w:divBdr>
    </w:div>
    <w:div w:id="1856111578">
      <w:bodyDiv w:val="1"/>
      <w:marLeft w:val="0"/>
      <w:marRight w:val="0"/>
      <w:marTop w:val="0"/>
      <w:marBottom w:val="0"/>
      <w:divBdr>
        <w:top w:val="none" w:sz="0" w:space="0" w:color="auto"/>
        <w:left w:val="none" w:sz="0" w:space="0" w:color="auto"/>
        <w:bottom w:val="none" w:sz="0" w:space="0" w:color="auto"/>
        <w:right w:val="none" w:sz="0" w:space="0" w:color="auto"/>
      </w:divBdr>
    </w:div>
    <w:div w:id="1897741892">
      <w:bodyDiv w:val="1"/>
      <w:marLeft w:val="0"/>
      <w:marRight w:val="0"/>
      <w:marTop w:val="0"/>
      <w:marBottom w:val="0"/>
      <w:divBdr>
        <w:top w:val="none" w:sz="0" w:space="0" w:color="auto"/>
        <w:left w:val="none" w:sz="0" w:space="0" w:color="auto"/>
        <w:bottom w:val="none" w:sz="0" w:space="0" w:color="auto"/>
        <w:right w:val="none" w:sz="0" w:space="0" w:color="auto"/>
      </w:divBdr>
    </w:div>
    <w:div w:id="19913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rx93rs.r.us-east-1.awstrack.me/L0/http:%2F%2Femkt.fiesp.ind.br%2Femkt%2Ftracer%2F%3F2,7238214,0e8d2f0f,ef03,1/1/0100018259303835-7ecb39b6-26e8-4b80-9da0-82b8ef84b16c-000000/wHJUzb2-HBSSX7J8IfNQO2HkJb8=28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mrx93rs.r.us-east-1.awstrack.me/L0/http:%2F%2Femkt.fiesp.ind.br%2Femkt%2Ftracer%2F%3F2,7238214,0e8d2f0f,ef03,2/1/0100018259303835-7ecb39b6-26e8-4b80-9da0-82b8ef84b16c-000000/Ob2EcHOwluWk4Y5ciNdXR0LIwTA=28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11074-8E71-47E1-85F5-F175B555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883</Words>
  <Characters>4771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Ariane Jaques Cabral | Sindusfarma</cp:lastModifiedBy>
  <cp:revision>2</cp:revision>
  <cp:lastPrinted>2019-12-16T12:37:00Z</cp:lastPrinted>
  <dcterms:created xsi:type="dcterms:W3CDTF">2022-08-01T11:45:00Z</dcterms:created>
  <dcterms:modified xsi:type="dcterms:W3CDTF">2022-08-01T11:45:00Z</dcterms:modified>
</cp:coreProperties>
</file>