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050E97" w14:paraId="75682F34" w14:textId="77777777" w:rsidTr="00050E97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040"/>
              <w:gridCol w:w="4185"/>
            </w:tblGrid>
            <w:tr w:rsidR="00050E97" w14:paraId="379176F5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91059F" w14:textId="006F76F3" w:rsidR="00050E97" w:rsidRDefault="00050E97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68676FC1" wp14:editId="1C04D516">
                        <wp:extent cx="5400040" cy="1211580"/>
                        <wp:effectExtent l="0" t="0" r="0" b="7620"/>
                        <wp:docPr id="10" name="Imagem 10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m 10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0E97" w14:paraId="686074F0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8D78CE" w14:textId="77777777" w:rsidR="00050E97" w:rsidRDefault="00050E97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Sexta-feira, 25 de março de 2022</w:t>
                  </w:r>
                </w:p>
              </w:tc>
            </w:tr>
            <w:tr w:rsidR="00050E97" w14:paraId="1A67306C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730FED" w14:textId="77777777" w:rsidR="00050E97" w:rsidRDefault="00050E97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Prezados Associados,</w:t>
                  </w:r>
                </w:p>
                <w:p w14:paraId="7436D0C9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 xml:space="preserve">Informamos, abaixo, as cláusulas econômicas negociadas com </w:t>
                  </w:r>
                  <w:r>
                    <w:rPr>
                      <w:rStyle w:val="Forte"/>
                      <w:sz w:val="24"/>
                      <w:szCs w:val="24"/>
                    </w:rPr>
                    <w:t xml:space="preserve">SINPROVESP, FIP 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rStyle w:val="Forte"/>
                      <w:sz w:val="24"/>
                      <w:szCs w:val="24"/>
                    </w:rPr>
                    <w:t>FEPROVENONE</w:t>
                  </w:r>
                  <w:r>
                    <w:rPr>
                      <w:sz w:val="24"/>
                      <w:szCs w:val="24"/>
                    </w:rPr>
                    <w:t>, para aplicação na folha de pagamento do mês de abril de 2022.</w:t>
                  </w:r>
                </w:p>
                <w:p w14:paraId="75F4991D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Com relação às demais cláusulas firmadas entre as partes em 1° de abril de 2021, continuarão com a sua vigência até 31 de março de 2024.</w:t>
                  </w:r>
                </w:p>
                <w:p w14:paraId="43A2F588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A seguir, destacamos as seguintes Cláusulas Econômicas:</w:t>
                  </w:r>
                </w:p>
                <w:p w14:paraId="5DB22FF5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1 – REAJUSTES DE SALÁRIOS</w:t>
                  </w:r>
                </w:p>
                <w:p w14:paraId="17E6A3C5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Sobre os salários de 01/04/2021, será aplicado a variação integral do INPC/IBGE, relativo ao período de 01/04/2021 a 31/03/2022, em 01/04/2022;</w:t>
                  </w:r>
                </w:p>
                <w:p w14:paraId="06258746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2 - TETO</w:t>
                  </w:r>
                </w:p>
                <w:p w14:paraId="68C33F93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O valor do teto será corrigido em 5,06% (cinco vírgula seis por cento), passando para R$ 8.300,00 (oito mil e trezentos reais);</w:t>
                  </w:r>
                </w:p>
                <w:p w14:paraId="256ADE9E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Para os salários nominais acima de R$ 8.300,00 (oito mil e trezentos reais), o aumento salarial será um valor fixo referente à variação integral do INPC/IBGE do período abril/2021 a março/2022,</w:t>
                  </w:r>
                </w:p>
                <w:p w14:paraId="0FEB22AD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multiplicado pelo teto de aplicação;</w:t>
                  </w:r>
                </w:p>
                <w:p w14:paraId="4A9E0111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3- SALÁRIO NORMATIVO</w:t>
                  </w:r>
                </w:p>
                <w:p w14:paraId="2A9BC830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Será corrigido pela variação integral do INPC/IBGE do período de abril/2021 a março/2022;</w:t>
                  </w:r>
                </w:p>
                <w:p w14:paraId="355B9934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4 – PLR - Programa de Participação nos Resultados.</w:t>
                  </w:r>
                </w:p>
                <w:p w14:paraId="16112979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Será corrigido pela variação integral do INPC/IBGE do período de abril/2021 a março/2022;</w:t>
                  </w:r>
                </w:p>
                <w:p w14:paraId="2B70C8AC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5 – DIÁRIAS e REFEIÇÃO</w:t>
                  </w:r>
                </w:p>
                <w:p w14:paraId="20CF2D6D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O Valor do Vale-refeição será corrigido em 10,00% (dez por cento) passando para R$ 55,00 (cinquenta e cinco reais).</w:t>
                  </w:r>
                </w:p>
                <w:p w14:paraId="470E7841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6 – REEMBOLSO DE QUILOMETRAGEM</w:t>
                  </w:r>
                </w:p>
                <w:p w14:paraId="11281E4C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O valor do reembolso de quilometragem será corrigido em 38,95% (trinta e oito vírgula noventa e cinco por cento), passando para R$ 1,32 (</w:t>
                  </w:r>
                  <w:proofErr w:type="spellStart"/>
                  <w:r>
                    <w:rPr>
                      <w:sz w:val="24"/>
                      <w:szCs w:val="24"/>
                    </w:rPr>
                    <w:t>hum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real e trinta e dois centavos).</w:t>
                  </w:r>
                </w:p>
                <w:p w14:paraId="4B1F046E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Obs</w:t>
                  </w:r>
                  <w:proofErr w:type="spellEnd"/>
                  <w:r>
                    <w:rPr>
                      <w:sz w:val="24"/>
                      <w:szCs w:val="24"/>
                    </w:rPr>
                    <w:t>: Revisão em 6 meses do valor do combustível, podendo ser para cima ou para baixo.</w:t>
                  </w:r>
                </w:p>
                <w:p w14:paraId="7FF9B9FD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7 – DESPESA COM COMUNICAÇÃO</w:t>
                  </w:r>
                </w:p>
                <w:p w14:paraId="2A610A6F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O valor da despesa com comunicação de R$ 103,00 (cento e três reais), será corrigido pela variação integral do INPC/IBGE acumulado, relativo ao período de abril/2021 a março/2022;</w:t>
                  </w:r>
                </w:p>
                <w:p w14:paraId="67DA10F9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8 – AUXÍLIO CRECHE</w:t>
                  </w:r>
                </w:p>
                <w:p w14:paraId="33CA19B1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O valor do Auxílio Creche de R$ 427,76 (quatrocentos e vinte e sete reais e setenta e seis centavos), será corrigido pela variação integral do INPC/IBGE acumulado, relativo ao período de abril/21 a março/22;</w:t>
                  </w:r>
                </w:p>
                <w:p w14:paraId="6B487117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9 – FIS</w:t>
                  </w:r>
                </w:p>
                <w:p w14:paraId="55277EBC" w14:textId="77777777" w:rsidR="00050E97" w:rsidRDefault="00050E97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O teto de contribuição ao FIS será corrigido em 5,06% (cinco vírgula seis por cento), passando para R$ 252,14 (duzentos e cinquenta dois reais e quatorze centavos).</w:t>
                  </w:r>
                </w:p>
                <w:p w14:paraId="6735C40B" w14:textId="77777777" w:rsidR="00050E97" w:rsidRDefault="00050E97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Cordialmente,</w:t>
                  </w:r>
                </w:p>
                <w:p w14:paraId="14AEBA5B" w14:textId="77777777" w:rsidR="00050E97" w:rsidRDefault="00050E97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Arnaldo Pedace</w:t>
                  </w:r>
                </w:p>
                <w:p w14:paraId="0E2FFF2B" w14:textId="77777777" w:rsidR="00050E97" w:rsidRDefault="00050E97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Gerente de Relações Sindicais e Trabalhistas.</w:t>
                  </w:r>
                </w:p>
                <w:p w14:paraId="625CBA62" w14:textId="77777777" w:rsidR="00050E97" w:rsidRDefault="00050E97">
                  <w:pPr>
                    <w:pStyle w:val="NormalWeb"/>
                    <w:spacing w:before="0" w:beforeAutospacing="0" w:after="0" w:after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050E97" w14:paraId="7B5E56FB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B96B84" w14:textId="77777777" w:rsidR="00050E97" w:rsidRDefault="00050E97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050E97" w14:paraId="2917BC46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3BC594" w14:textId="0BEA5F2C" w:rsidR="00050E97" w:rsidRDefault="00050E97">
                  <w:pPr>
                    <w:rPr>
                      <w:rFonts w:ascii="Calibri" w:eastAsia="Times New Roman" w:hAnsi="Calibri" w:cs="Calibri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633724F0" wp14:editId="42E2A540">
                        <wp:extent cx="5400040" cy="298450"/>
                        <wp:effectExtent l="0" t="0" r="0" b="635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0E97" w14:paraId="2EC8D909" w14:textId="77777777">
              <w:trPr>
                <w:tblCellSpacing w:w="15" w:type="dxa"/>
                <w:jc w:val="center"/>
              </w:trPr>
              <w:tc>
                <w:tcPr>
                  <w:tcW w:w="4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9E8680" w14:textId="77777777" w:rsidR="00050E97" w:rsidRDefault="00050E97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3897-9779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>
                      <w:rPr>
                        <w:rStyle w:val="Hyperlink"/>
                        <w:rFonts w:eastAsia="Times New Roman"/>
                        <w:sz w:val="20"/>
                        <w:szCs w:val="20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0"/>
                      <w:szCs w:val="20"/>
                    </w:rPr>
                    <w:t xml:space="preserve"> - sindusfarma.org.br</w:t>
                  </w:r>
                </w:p>
              </w:tc>
              <w:tc>
                <w:tcPr>
                  <w:tcW w:w="4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9A9166" w14:textId="77777777" w:rsidR="00050E97" w:rsidRDefault="00050E97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6A3B0628" w14:textId="77777777" w:rsidR="00050E97" w:rsidRDefault="00050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E77C19" w14:textId="77777777" w:rsidR="00A449A7" w:rsidRDefault="00A449A7"/>
    <w:sectPr w:rsidR="00A449A7" w:rsidSect="00050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20"/>
    <w:rsid w:val="00050E97"/>
    <w:rsid w:val="00210520"/>
    <w:rsid w:val="0090287A"/>
    <w:rsid w:val="009564A8"/>
    <w:rsid w:val="00A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6958"/>
  <w15:chartTrackingRefBased/>
  <w15:docId w15:val="{7D425AEA-1051-4509-BEBF-F64F98F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0E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0E9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050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dace@sindusfarma.or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 | Sindusfarma</dc:creator>
  <cp:keywords/>
  <dc:description/>
  <cp:lastModifiedBy>Dancarla Nunes | Sindusfarma</cp:lastModifiedBy>
  <cp:revision>2</cp:revision>
  <dcterms:created xsi:type="dcterms:W3CDTF">2022-03-31T13:32:00Z</dcterms:created>
  <dcterms:modified xsi:type="dcterms:W3CDTF">2022-03-31T13:32:00Z</dcterms:modified>
</cp:coreProperties>
</file>