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5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6277"/>
        <w:gridCol w:w="3233"/>
      </w:tblGrid>
      <w:tr w:rsidR="00387025" w14:paraId="4AD7A224" w14:textId="77777777" w:rsidTr="000C28BB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420"/>
            </w:tblGrid>
            <w:tr w:rsidR="000C28BB" w14:paraId="59E3C281" w14:textId="77777777" w:rsidTr="000C28BB">
              <w:trPr>
                <w:tblCellSpacing w:w="15" w:type="dxa"/>
              </w:trPr>
              <w:tc>
                <w:tcPr>
                  <w:tcW w:w="18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9225" w:type="dxa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6326"/>
                    <w:gridCol w:w="3004"/>
                  </w:tblGrid>
                  <w:tr w:rsidR="000C28BB" w14:paraId="3758AA10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9225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834A989" w14:textId="00C836C4" w:rsidR="000C28BB" w:rsidRDefault="000C28BB" w:rsidP="000C28BB">
                        <w:pPr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 wp14:anchorId="3C7F1EC7" wp14:editId="01A3B7A0">
                              <wp:extent cx="5857875" cy="1257300"/>
                              <wp:effectExtent l="0" t="0" r="9525" b="0"/>
                              <wp:docPr id="12" name="Imagem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57875" cy="1257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C28BB" w14:paraId="70C21103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9225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F80F19E" w14:textId="77777777" w:rsidR="000C28BB" w:rsidRDefault="000C28BB" w:rsidP="000C28BB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rStyle w:val="Forte"/>
                            <w:sz w:val="15"/>
                            <w:szCs w:val="15"/>
                          </w:rPr>
                          <w:t xml:space="preserve"> São Paulo, 17 de </w:t>
                        </w:r>
                        <w:proofErr w:type="gramStart"/>
                        <w:r>
                          <w:rPr>
                            <w:rStyle w:val="Forte"/>
                            <w:sz w:val="15"/>
                            <w:szCs w:val="15"/>
                          </w:rPr>
                          <w:t>Janeiro</w:t>
                        </w:r>
                        <w:proofErr w:type="gramEnd"/>
                        <w:r>
                          <w:rPr>
                            <w:rStyle w:val="Forte"/>
                            <w:sz w:val="15"/>
                            <w:szCs w:val="15"/>
                          </w:rPr>
                          <w:t xml:space="preserve"> de 2020</w:t>
                        </w:r>
                      </w:p>
                    </w:tc>
                  </w:tr>
                  <w:tr w:rsidR="000C28BB" w14:paraId="6BD6B08B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9225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0139F64" w14:textId="6AE72D7A" w:rsidR="000C28BB" w:rsidRDefault="000C28BB" w:rsidP="000C28BB">
                        <w:pPr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 wp14:anchorId="73CC93A1" wp14:editId="05ECDD01">
                              <wp:extent cx="5857875" cy="19050"/>
                              <wp:effectExtent l="0" t="0" r="0" b="0"/>
                              <wp:docPr id="11" name="Imagem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57875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C28BB" w14:paraId="55DDA17C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9225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63FAFF2" w14:textId="77777777" w:rsidR="000C28BB" w:rsidRDefault="000C28BB" w:rsidP="000C28BB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30"/>
                            <w:szCs w:val="30"/>
                          </w:rPr>
                          <w:t> </w:t>
                        </w:r>
                      </w:p>
                      <w:p w14:paraId="744D9CAB" w14:textId="77777777" w:rsidR="000C28BB" w:rsidRDefault="000C28BB" w:rsidP="000C28BB">
                        <w:pPr>
                          <w:pStyle w:val="NormalWeb"/>
                          <w:jc w:val="center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rStyle w:val="Forte"/>
                            <w:sz w:val="24"/>
                            <w:szCs w:val="24"/>
                          </w:rPr>
                          <w:t>Portaria nº 914, de 13/01/2020, da Secretaria Especial de Previdência e Trabalho, reajustou salários de contribuição, além de benefícios e demais valores da Previdência, dentre eles o salário-família. Empregadores já podem transmitir folhas de pagamento de janeiro/2020.</w:t>
                        </w:r>
                      </w:p>
                      <w:p w14:paraId="60805071" w14:textId="77777777" w:rsidR="000C28BB" w:rsidRDefault="000C28BB" w:rsidP="000C28BB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rStyle w:val="Forte"/>
                            <w:sz w:val="24"/>
                            <w:szCs w:val="24"/>
                          </w:rPr>
                          <w:t>Prezados (as),</w:t>
                        </w:r>
                      </w:p>
                      <w:p w14:paraId="359AF6DD" w14:textId="77777777" w:rsidR="000C28BB" w:rsidRDefault="000C28BB" w:rsidP="000C28BB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Foi publicada Terça-feira (14) a Portaria nº 914, de 13/01/2020, da Secretaria Especial de Previdência e Trabalho, que divulga a tabela de faixas para atribuição de alíquotas previdenciárias, bem como limite de salários de contribuição ao INSS, além de reajustar os benefícios pagos pelo Instituto Nacional do Seguro Social - INSS e os demais valores constantes do Regulamento da Previdência Social - RPS. A cota de salário-família passou a ter o valor de R$48,62, sendo paga aos segurados com remuneração mensal não superior a R$1.425,56.</w:t>
                        </w:r>
                      </w:p>
                      <w:p w14:paraId="14FD40C6" w14:textId="77777777" w:rsidR="000C28BB" w:rsidRDefault="000C28BB" w:rsidP="000C28BB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A publicação da Portaria era aguardada para que fosse desbloqueado o envio dos eventos periódicos de janeiro/2020 (folhas de pagamento) ao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eSocial</w:t>
                        </w:r>
                        <w:proofErr w:type="spellEnd"/>
                        <w:r>
                          <w:rPr>
                            <w:sz w:val="21"/>
                            <w:szCs w:val="21"/>
                          </w:rPr>
                          <w:t xml:space="preserve">, uma vez que os cálculos realizados pelo sistema se baseiam nesses valores. Com isso, os empregadores já podem enviar os eventos de remuneração ao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eSocial</w:t>
                        </w:r>
                        <w:proofErr w:type="spellEnd"/>
                        <w:r>
                          <w:rPr>
                            <w:sz w:val="21"/>
                            <w:szCs w:val="21"/>
                          </w:rPr>
                          <w:t xml:space="preserve"> referentes à competência janeiro/2020.</w:t>
                        </w:r>
                      </w:p>
                      <w:p w14:paraId="52AAA027" w14:textId="77777777" w:rsidR="000C28BB" w:rsidRDefault="000C28BB" w:rsidP="000C28BB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Por força da reforma da Previdência (Emenda Constitucional nº 103/2019), a partir de 01/03/2020, serão aplicadas novas alíquotas, de forma progressiva.</w:t>
                        </w:r>
                      </w:p>
                      <w:p w14:paraId="76CEE928" w14:textId="77777777" w:rsidR="000C28BB" w:rsidRDefault="000C28BB" w:rsidP="000C28BB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Confira os novos valores das faixas de contribuição:</w:t>
                        </w:r>
                      </w:p>
                      <w:p w14:paraId="7AD3A06F" w14:textId="77777777" w:rsidR="000C28BB" w:rsidRDefault="000C28BB" w:rsidP="000C28BB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rStyle w:val="Forte"/>
                            <w:sz w:val="21"/>
                            <w:szCs w:val="21"/>
                          </w:rPr>
                          <w:t xml:space="preserve"> ▪ De 01/01/2020 a 29/02/2020 </w:t>
                        </w:r>
                      </w:p>
                      <w:p w14:paraId="23BEBABC" w14:textId="77777777" w:rsidR="000C28BB" w:rsidRDefault="000C28BB" w:rsidP="000C28BB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    Salário-de-contribuição (R</w:t>
                        </w:r>
                        <w:proofErr w:type="gramStart"/>
                        <w:r>
                          <w:rPr>
                            <w:sz w:val="21"/>
                            <w:szCs w:val="21"/>
                          </w:rPr>
                          <w:t>$)   </w:t>
                        </w:r>
                        <w:proofErr w:type="gramEnd"/>
                        <w:r>
                          <w:rPr>
                            <w:sz w:val="21"/>
                            <w:szCs w:val="21"/>
                          </w:rPr>
                          <w:t xml:space="preserve">                                Alíquota para fins de recolhimento ao INSS</w:t>
                        </w:r>
                      </w:p>
                      <w:p w14:paraId="670E943D" w14:textId="77777777" w:rsidR="000C28BB" w:rsidRDefault="000C28BB" w:rsidP="000C28BB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              até 1.830,29                                                                                        8,0%</w:t>
                        </w:r>
                      </w:p>
                      <w:p w14:paraId="3559CF1D" w14:textId="77777777" w:rsidR="000C28BB" w:rsidRDefault="000C28BB" w:rsidP="000C28BB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      de 1.830,30 até 3.050,52                                                                          9,0%</w:t>
                        </w:r>
                      </w:p>
                      <w:p w14:paraId="516B550A" w14:textId="77777777" w:rsidR="000C28BB" w:rsidRDefault="000C28BB" w:rsidP="000C28BB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      de 3.050,53 até 6.101,06                                                                          11,0%</w:t>
                        </w:r>
                      </w:p>
                      <w:p w14:paraId="1DAA41BE" w14:textId="77777777" w:rsidR="000C28BB" w:rsidRDefault="000C28BB" w:rsidP="000C28BB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30"/>
                            <w:szCs w:val="30"/>
                          </w:rPr>
                          <w:t> </w:t>
                        </w:r>
                      </w:p>
                      <w:p w14:paraId="27A8D916" w14:textId="77777777" w:rsidR="000C28BB" w:rsidRDefault="000C28BB" w:rsidP="000C28BB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rStyle w:val="Forte"/>
                            <w:sz w:val="21"/>
                            <w:szCs w:val="21"/>
                          </w:rPr>
                          <w:t xml:space="preserve">▪ A partir de 01/03/2020 </w:t>
                        </w:r>
                      </w:p>
                      <w:p w14:paraId="139CEA46" w14:textId="77777777" w:rsidR="000C28BB" w:rsidRDefault="000C28BB" w:rsidP="000C28BB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    Salário-de-contribuição (R</w:t>
                        </w:r>
                        <w:proofErr w:type="gramStart"/>
                        <w:r>
                          <w:rPr>
                            <w:sz w:val="21"/>
                            <w:szCs w:val="21"/>
                          </w:rPr>
                          <w:t>$)   </w:t>
                        </w:r>
                        <w:proofErr w:type="gramEnd"/>
                        <w:r>
                          <w:rPr>
                            <w:sz w:val="21"/>
                            <w:szCs w:val="21"/>
                          </w:rPr>
                          <w:t xml:space="preserve">                                   Alíquota para fins de recolhimento ao INSS</w:t>
                        </w:r>
                      </w:p>
                      <w:p w14:paraId="05D44BA3" w14:textId="77777777" w:rsidR="000C28BB" w:rsidRDefault="000C28BB" w:rsidP="000C28BB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           até 1.039,00                                                                                              7,5%</w:t>
                        </w:r>
                      </w:p>
                      <w:p w14:paraId="3C665547" w14:textId="77777777" w:rsidR="000C28BB" w:rsidRDefault="000C28BB" w:rsidP="000C28BB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  de 1.039,01 até 2.089,60                                                                                 9,0%</w:t>
                        </w:r>
                      </w:p>
                      <w:p w14:paraId="3CE24CF3" w14:textId="77777777" w:rsidR="000C28BB" w:rsidRDefault="000C28BB" w:rsidP="000C28BB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lastRenderedPageBreak/>
                          <w:t>  de 2.089,61 até 3.134,40                                                                                 12,0%</w:t>
                        </w:r>
                      </w:p>
                      <w:p w14:paraId="50AEDD0B" w14:textId="77777777" w:rsidR="000C28BB" w:rsidRDefault="000C28BB" w:rsidP="000C28BB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  de 3.134,41 até 6.101,06                                                                                 14,0%</w:t>
                        </w:r>
                      </w:p>
                      <w:p w14:paraId="5F62D5DF" w14:textId="77777777" w:rsidR="000C28BB" w:rsidRDefault="000C28BB" w:rsidP="000C28BB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br/>
                          <w:t xml:space="preserve">Módulo Doméstico Está liberada a folha de janeiro/2020 para o Módulo Doméstico do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eSocial</w:t>
                        </w:r>
                        <w:proofErr w:type="spellEnd"/>
                        <w:r>
                          <w:rPr>
                            <w:sz w:val="21"/>
                            <w:szCs w:val="21"/>
                          </w:rPr>
                          <w:t xml:space="preserve">, já atualizado inclusive com o novo valor do salário-família. Eventos De Desligamento (S-2299) E Término De </w:t>
                        </w:r>
                        <w:proofErr w:type="spellStart"/>
                        <w:r>
                          <w:rPr>
                            <w:sz w:val="21"/>
                            <w:szCs w:val="21"/>
                          </w:rPr>
                          <w:t>Tsve</w:t>
                        </w:r>
                        <w:proofErr w:type="spellEnd"/>
                        <w:r>
                          <w:rPr>
                            <w:sz w:val="21"/>
                            <w:szCs w:val="21"/>
                          </w:rPr>
                          <w:t xml:space="preserve"> (S-2399) A transmissão dos eventos de Desligamento (S-2299) e Término do Trabalhador Sem Vínculo de Emprego (S-2399) não foi bloqueada. Como a portaria com as novas alíquotas foi publicada com vigência retroativa a 01/01/2020, cabe ao empregador realizar, antes do fechamento da folha do mês de janeiro/2020, a retificação dos eventos que foram transmitidos antes da implantação da alteração (14/01/2020, 14h39) para que os cálculos passem a contemplar os valores atualizados pela portaria.</w:t>
                        </w:r>
                      </w:p>
                      <w:p w14:paraId="6DB3B4E9" w14:textId="77777777" w:rsidR="000C28BB" w:rsidRDefault="000C28BB" w:rsidP="000C28BB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rStyle w:val="Forte"/>
                            <w:sz w:val="21"/>
                            <w:szCs w:val="21"/>
                          </w:rPr>
                          <w:t xml:space="preserve">Fonte: Portal </w:t>
                        </w:r>
                        <w:proofErr w:type="spellStart"/>
                        <w:r>
                          <w:rPr>
                            <w:rStyle w:val="Forte"/>
                            <w:sz w:val="21"/>
                            <w:szCs w:val="21"/>
                          </w:rPr>
                          <w:t>eSOCIAL</w:t>
                        </w:r>
                        <w:proofErr w:type="spellEnd"/>
                        <w:r>
                          <w:rPr>
                            <w:rStyle w:val="Forte"/>
                            <w:sz w:val="21"/>
                            <w:szCs w:val="21"/>
                          </w:rPr>
                          <w:t>, em 14.01.2020.</w:t>
                        </w:r>
                      </w:p>
                      <w:p w14:paraId="223033E0" w14:textId="77777777" w:rsidR="000C28BB" w:rsidRDefault="000C28BB" w:rsidP="000C28BB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30"/>
                            <w:szCs w:val="30"/>
                          </w:rPr>
                          <w:t> </w:t>
                        </w:r>
                      </w:p>
                      <w:p w14:paraId="2E42DB23" w14:textId="77777777" w:rsidR="000C28BB" w:rsidRDefault="000C28BB" w:rsidP="000C28BB">
                        <w:pPr>
                          <w:pStyle w:val="NormalWeb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Atenciosamente,</w:t>
                        </w:r>
                      </w:p>
                    </w:tc>
                  </w:tr>
                  <w:tr w:rsidR="000C28BB" w14:paraId="4A3B7039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9225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288EEBC" w14:textId="77777777" w:rsidR="000C28BB" w:rsidRDefault="000C28BB" w:rsidP="000C28BB">
                        <w:pPr>
                          <w:rPr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0C28BB" w14:paraId="589016BD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9225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54D10F3" w14:textId="32A9305B" w:rsidR="000C28BB" w:rsidRDefault="000C28BB" w:rsidP="000C28BB">
                        <w:pPr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 wp14:anchorId="0A487171" wp14:editId="0140EBF8">
                              <wp:extent cx="5857875" cy="438150"/>
                              <wp:effectExtent l="0" t="0" r="9525" b="0"/>
                              <wp:docPr id="10" name="Imagem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57875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C28BB" w14:paraId="10DE0749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609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AC5300C" w14:textId="77777777" w:rsidR="000C28BB" w:rsidRDefault="000C28BB" w:rsidP="000C28BB">
                        <w:pPr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rStyle w:val="Forte"/>
                            <w:sz w:val="15"/>
                            <w:szCs w:val="15"/>
                          </w:rPr>
                          <w:t xml:space="preserve">Responsável: Arnaldo </w:t>
                        </w:r>
                        <w:proofErr w:type="spellStart"/>
                        <w:r>
                          <w:rPr>
                            <w:rStyle w:val="Forte"/>
                            <w:sz w:val="15"/>
                            <w:szCs w:val="15"/>
                          </w:rPr>
                          <w:t>Pedace</w:t>
                        </w:r>
                        <w:proofErr w:type="spellEnd"/>
                        <w:r>
                          <w:rPr>
                            <w:rStyle w:val="Forte"/>
                            <w:sz w:val="15"/>
                            <w:szCs w:val="15"/>
                          </w:rPr>
                          <w:t xml:space="preserve"> - </w:t>
                        </w:r>
                        <w:proofErr w:type="gramStart"/>
                        <w:r>
                          <w:rPr>
                            <w:rStyle w:val="Forte"/>
                            <w:sz w:val="15"/>
                            <w:szCs w:val="15"/>
                          </w:rPr>
                          <w:t>Tel.(</w:t>
                        </w:r>
                        <w:proofErr w:type="gramEnd"/>
                        <w:r>
                          <w:rPr>
                            <w:rStyle w:val="Forte"/>
                            <w:sz w:val="15"/>
                            <w:szCs w:val="15"/>
                          </w:rPr>
                          <w:t>11) 3897-9751</w:t>
                        </w:r>
                        <w:r>
                          <w:rPr>
                            <w:b/>
                            <w:bCs/>
                            <w:sz w:val="15"/>
                            <w:szCs w:val="15"/>
                          </w:rPr>
                          <w:br/>
                        </w:r>
                        <w:r>
                          <w:rPr>
                            <w:rStyle w:val="Forte"/>
                            <w:sz w:val="15"/>
                            <w:szCs w:val="15"/>
                          </w:rPr>
                          <w:t xml:space="preserve">E-mail: </w:t>
                        </w:r>
                        <w:hyperlink r:id="rId8" w:history="1">
                          <w:r>
                            <w:rPr>
                              <w:rStyle w:val="Hyperlink"/>
                              <w:sz w:val="15"/>
                              <w:szCs w:val="15"/>
                            </w:rPr>
                            <w:t>apedace@sindusfarma.org.br</w:t>
                          </w:r>
                        </w:hyperlink>
                        <w:r>
                          <w:rPr>
                            <w:rStyle w:val="Forte"/>
                            <w:sz w:val="15"/>
                            <w:szCs w:val="15"/>
                          </w:rPr>
                          <w:t xml:space="preserve"> - sindusfarma.org.br</w:t>
                        </w:r>
                      </w:p>
                    </w:tc>
                    <w:tc>
                      <w:tcPr>
                        <w:tcW w:w="310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9D0F899" w14:textId="77777777" w:rsidR="000C28BB" w:rsidRDefault="000C28BB" w:rsidP="000C28BB">
                        <w:pPr>
                          <w:jc w:val="right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rStyle w:val="Forte"/>
                            <w:sz w:val="15"/>
                            <w:szCs w:val="15"/>
                          </w:rPr>
                          <w:t>Rua Alvorada, 1.280 - Vila Olímpia</w:t>
                        </w:r>
                        <w:r>
                          <w:rPr>
                            <w:b/>
                            <w:bCs/>
                            <w:sz w:val="15"/>
                            <w:szCs w:val="15"/>
                          </w:rPr>
                          <w:br/>
                        </w:r>
                        <w:r>
                          <w:rPr>
                            <w:rStyle w:val="Forte"/>
                            <w:sz w:val="15"/>
                            <w:szCs w:val="15"/>
                          </w:rPr>
                          <w:t>São Paulo/SP - CEP 04550-004</w:t>
                        </w:r>
                      </w:p>
                    </w:tc>
                  </w:tr>
                </w:tbl>
                <w:p w14:paraId="30CA3F1B" w14:textId="77777777" w:rsidR="000C28BB" w:rsidRDefault="000C28BB" w:rsidP="000C28B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D92912A" w14:textId="569092D9" w:rsidR="00387025" w:rsidRDefault="00387025">
            <w:pPr>
              <w:rPr>
                <w:sz w:val="30"/>
                <w:szCs w:val="30"/>
              </w:rPr>
            </w:pPr>
          </w:p>
        </w:tc>
      </w:tr>
      <w:tr w:rsidR="00387025" w14:paraId="7D033D7A" w14:textId="77777777" w:rsidTr="000C28BB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42D86" w14:textId="035E75A3" w:rsidR="00387025" w:rsidRDefault="00387025">
            <w:pPr>
              <w:jc w:val="center"/>
              <w:rPr>
                <w:sz w:val="30"/>
                <w:szCs w:val="30"/>
              </w:rPr>
            </w:pPr>
          </w:p>
        </w:tc>
      </w:tr>
      <w:tr w:rsidR="00387025" w14:paraId="259477F4" w14:textId="77777777" w:rsidTr="000C28BB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A5C52" w14:textId="59D3A9C8" w:rsidR="00387025" w:rsidRDefault="00387025">
            <w:pPr>
              <w:rPr>
                <w:sz w:val="30"/>
                <w:szCs w:val="30"/>
              </w:rPr>
            </w:pPr>
          </w:p>
        </w:tc>
      </w:tr>
      <w:tr w:rsidR="00387025" w14:paraId="43A24A78" w14:textId="77777777" w:rsidTr="000C28BB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A3F7C" w14:textId="28254702" w:rsidR="00387025" w:rsidRDefault="00387025">
            <w:pPr>
              <w:pStyle w:val="NormalWeb"/>
              <w:rPr>
                <w:sz w:val="30"/>
                <w:szCs w:val="30"/>
              </w:rPr>
            </w:pPr>
          </w:p>
        </w:tc>
      </w:tr>
      <w:tr w:rsidR="00387025" w14:paraId="28DD7BEE" w14:textId="77777777" w:rsidTr="000C28BB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FAFF1" w14:textId="77777777" w:rsidR="00387025" w:rsidRDefault="00387025">
            <w:pPr>
              <w:rPr>
                <w:sz w:val="30"/>
                <w:szCs w:val="30"/>
              </w:rPr>
            </w:pPr>
          </w:p>
        </w:tc>
      </w:tr>
      <w:tr w:rsidR="00387025" w14:paraId="0C78347F" w14:textId="77777777" w:rsidTr="000C28BB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828F5" w14:textId="3921DA0A" w:rsidR="00387025" w:rsidRDefault="00387025">
            <w:pPr>
              <w:rPr>
                <w:sz w:val="30"/>
                <w:szCs w:val="30"/>
              </w:rPr>
            </w:pPr>
          </w:p>
        </w:tc>
      </w:tr>
      <w:tr w:rsidR="00387025" w14:paraId="42F612CA" w14:textId="77777777" w:rsidTr="000C28BB">
        <w:trPr>
          <w:tblCellSpacing w:w="15" w:type="dxa"/>
          <w:jc w:val="center"/>
        </w:trPr>
        <w:tc>
          <w:tcPr>
            <w:tcW w:w="6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2986B" w14:textId="0EA4630E" w:rsidR="00387025" w:rsidRDefault="00387025">
            <w:pPr>
              <w:rPr>
                <w:sz w:val="30"/>
                <w:szCs w:val="30"/>
              </w:rPr>
            </w:pPr>
          </w:p>
        </w:tc>
        <w:tc>
          <w:tcPr>
            <w:tcW w:w="3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E281E" w14:textId="62B681F4" w:rsidR="00387025" w:rsidRDefault="00387025">
            <w:pPr>
              <w:jc w:val="right"/>
              <w:rPr>
                <w:sz w:val="30"/>
                <w:szCs w:val="30"/>
              </w:rPr>
            </w:pPr>
          </w:p>
        </w:tc>
      </w:tr>
    </w:tbl>
    <w:p w14:paraId="7D25B1F3" w14:textId="77777777" w:rsidR="00783757" w:rsidRDefault="00783757" w:rsidP="00B978A7">
      <w:pPr>
        <w:jc w:val="center"/>
      </w:pPr>
    </w:p>
    <w:sectPr w:rsidR="00783757" w:rsidSect="00B97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A51FB"/>
    <w:multiLevelType w:val="multilevel"/>
    <w:tmpl w:val="80CA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A3567"/>
    <w:multiLevelType w:val="multilevel"/>
    <w:tmpl w:val="D704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D4621"/>
    <w:multiLevelType w:val="multilevel"/>
    <w:tmpl w:val="60BC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ED508D"/>
    <w:multiLevelType w:val="multilevel"/>
    <w:tmpl w:val="E97E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01022D"/>
    <w:multiLevelType w:val="multilevel"/>
    <w:tmpl w:val="2FE6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2A3F68"/>
    <w:multiLevelType w:val="multilevel"/>
    <w:tmpl w:val="7F44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682FF0"/>
    <w:multiLevelType w:val="multilevel"/>
    <w:tmpl w:val="6C0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1F168B"/>
    <w:multiLevelType w:val="multilevel"/>
    <w:tmpl w:val="02C4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8A4346"/>
    <w:multiLevelType w:val="multilevel"/>
    <w:tmpl w:val="0FC8B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A7"/>
    <w:rsid w:val="000C28BB"/>
    <w:rsid w:val="00387025"/>
    <w:rsid w:val="00783757"/>
    <w:rsid w:val="00B9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6BA6"/>
  <w15:chartTrackingRefBased/>
  <w15:docId w15:val="{A84B1CF4-F11F-4F9D-B4AE-95FFABD1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8A7"/>
    <w:pPr>
      <w:spacing w:after="0" w:line="240" w:lineRule="auto"/>
    </w:pPr>
    <w:rPr>
      <w:rFonts w:ascii="Calibri" w:eastAsia="Times New Roman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978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78A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97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dace@sindusfarma.or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Dancarla Nunes</dc:creator>
  <cp:keywords/>
  <dc:description/>
  <cp:lastModifiedBy>Dancarla Nunes</cp:lastModifiedBy>
  <cp:revision>2</cp:revision>
  <dcterms:created xsi:type="dcterms:W3CDTF">2021-08-11T17:28:00Z</dcterms:created>
  <dcterms:modified xsi:type="dcterms:W3CDTF">2021-08-11T17:28:00Z</dcterms:modified>
</cp:coreProperties>
</file>