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265"/>
        <w:gridCol w:w="4233"/>
      </w:tblGrid>
      <w:tr w:rsidR="00984499" w14:paraId="47AFC2AD" w14:textId="77777777" w:rsidTr="00F376EF">
        <w:trPr>
          <w:tblCellSpacing w:w="15" w:type="dxa"/>
          <w:jc w:val="center"/>
        </w:trPr>
        <w:tc>
          <w:tcPr>
            <w:tcW w:w="94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1CFDA" w14:textId="0BD94F65" w:rsidR="00984499" w:rsidRDefault="00984499" w:rsidP="00F376EF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noProof/>
                <w:sz w:val="30"/>
                <w:szCs w:val="30"/>
              </w:rPr>
              <w:drawing>
                <wp:inline distT="0" distB="0" distL="0" distR="0" wp14:anchorId="2CA63E56" wp14:editId="7CE582D6">
                  <wp:extent cx="5400040" cy="1211580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99" w14:paraId="022839A2" w14:textId="77777777" w:rsidTr="00F376EF">
        <w:trPr>
          <w:tblCellSpacing w:w="15" w:type="dxa"/>
          <w:jc w:val="center"/>
        </w:trPr>
        <w:tc>
          <w:tcPr>
            <w:tcW w:w="94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C3C0B" w14:textId="77777777" w:rsidR="00984499" w:rsidRDefault="0098449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</w:rPr>
              <w:t>Sexta-feira, 13 de agosto de 2021</w:t>
            </w:r>
          </w:p>
        </w:tc>
      </w:tr>
      <w:tr w:rsidR="00984499" w14:paraId="7F9F3FE2" w14:textId="77777777" w:rsidTr="00F376EF">
        <w:trPr>
          <w:tblCellSpacing w:w="15" w:type="dxa"/>
          <w:jc w:val="center"/>
        </w:trPr>
        <w:tc>
          <w:tcPr>
            <w:tcW w:w="94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7A1D7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r>
              <w:rPr>
                <w:rStyle w:val="Forte"/>
                <w:sz w:val="24"/>
                <w:szCs w:val="24"/>
              </w:rPr>
              <w:t>Ref.: Resposta Sefaz/SP sobre Consulta Tributária nº 22699/2020, formulada pelo Sindusfarma em 19/11/2020.</w:t>
            </w:r>
          </w:p>
          <w:p w14:paraId="5D489278" w14:textId="77777777" w:rsidR="00984499" w:rsidRDefault="00984499">
            <w:pPr>
              <w:pStyle w:val="NormalWeb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Prezados Associados,</w:t>
            </w:r>
          </w:p>
          <w:p w14:paraId="4427DC83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Para conhecimento, segue resposta da Consulta Tributária formulada pelo Sindusfarma à Consultoria Tributária, da Secretaria da Fazenda e Planejamento do ESP, em 19/11/2021, sobre as alterações promovidas pelos Decretos nº 65.254/20 e nº 65.255/20 nos dispositivos que tratam de isenção nas operações com medicamentos (artigos 2º, 14, 92, 150 e 154 do Anexo I do RICMS/SP).</w:t>
            </w:r>
          </w:p>
          <w:p w14:paraId="48435C0A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A pedido do Sindusfarma, segue, também, Nota Técnica elaborada pelo Escritório </w:t>
            </w:r>
            <w:proofErr w:type="spellStart"/>
            <w:r>
              <w:rPr>
                <w:sz w:val="24"/>
                <w:szCs w:val="24"/>
              </w:rPr>
              <w:t>Rayes</w:t>
            </w:r>
            <w:proofErr w:type="spellEnd"/>
            <w:r>
              <w:rPr>
                <w:sz w:val="24"/>
                <w:szCs w:val="24"/>
              </w:rPr>
              <w:t xml:space="preserve"> &amp; Fagundes Advogados Associados, com o intuito de orientar nossos associados acerca das novidades sobre o tema.</w:t>
            </w:r>
          </w:p>
          <w:p w14:paraId="5B2ECC4A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Resumindo, a Secretaria da Fazenda liberou a resposta à consulta ontem (sob pressão) para afirmar o que temíamos: a isenção é restrita a operações destinadas “literalmente” a hospitais públicos e santas </w:t>
            </w:r>
            <w:proofErr w:type="gramStart"/>
            <w:r>
              <w:rPr>
                <w:sz w:val="24"/>
                <w:szCs w:val="24"/>
              </w:rPr>
              <w:t>casas</w:t>
            </w:r>
            <w:proofErr w:type="gramEnd"/>
            <w:r>
              <w:rPr>
                <w:sz w:val="24"/>
                <w:szCs w:val="24"/>
              </w:rPr>
              <w:t>, e não abrange operações para órgãos da Administração Pública em geral, exceto:</w:t>
            </w:r>
          </w:p>
          <w:p w14:paraId="2D6018DD" w14:textId="77777777" w:rsidR="00984499" w:rsidRDefault="00984499" w:rsidP="0029642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24"/>
                <w:szCs w:val="24"/>
              </w:rPr>
              <w:t>saídas internas destinadas a órgãos da Administração Pública Estadual Direta e suas Fundações e Autarquias</w:t>
            </w:r>
          </w:p>
          <w:p w14:paraId="5AA691ED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  <w:p w14:paraId="4339216A" w14:textId="77777777" w:rsidR="00984499" w:rsidRDefault="00984499" w:rsidP="0029642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24"/>
                <w:szCs w:val="24"/>
              </w:rPr>
              <w:t>saídas de medicamentos da lista do Convênio CONFAZ 87/02 para Administração Pública Direta e Indireta Federal, Estadual e Municipal e suas fundações públicas</w:t>
            </w:r>
          </w:p>
          <w:p w14:paraId="01C3C411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Assim, os produtos farmacêuticos dos Convênios 162/94, 01/99, 140/01, 10/02 e 73/10 que não sejam destinados a Administração Pública Estadual Direta e suas Fundações e Autarquias, ou que não estejam arrolados também no Convênio CONFAZ 87/02 (RICMS/SP, Anexo I, artigo 94), não poderão mais usufruir a isenção integral do ICMS.</w:t>
            </w:r>
          </w:p>
          <w:p w14:paraId="4E456A82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Isto se aplica às importações para revenda a hospitais públicos e santas </w:t>
            </w:r>
            <w:proofErr w:type="gramStart"/>
            <w:r>
              <w:rPr>
                <w:sz w:val="24"/>
                <w:szCs w:val="24"/>
              </w:rPr>
              <w:t>casas</w:t>
            </w:r>
            <w:proofErr w:type="gramEnd"/>
            <w:r>
              <w:rPr>
                <w:sz w:val="24"/>
                <w:szCs w:val="24"/>
              </w:rPr>
              <w:t>, às vendas a distribuidores hospitalares, às vendas para o Ministério da Saúde, Secretarias Estaduais de Saúde de outros Estados, Secretarias Municipais de Saúde de todo o país, hospitais privados, clínicas e casas de saúde não enquadrados como santas casas.</w:t>
            </w:r>
          </w:p>
          <w:p w14:paraId="5813EF1E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lastRenderedPageBreak/>
              <w:t>Importante destacar que as explicações constantes na referida Nota Técnica estão amparadas nas orientações apresentadas pela SEFAZ-SP no Protocolo de Consulta Tributária nº 22699/2020, e nas redações dos artigos 2º, 14, 92, 150 e 154 do Anexo I do RICMS/SP, alteradas pelos Decretos nº 65.254/20 e nº 65.255/20.</w:t>
            </w:r>
          </w:p>
          <w:p w14:paraId="0FC94657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hyperlink r:id="rId6" w:tgtFrame="_blank" w:history="1">
              <w:r>
                <w:rPr>
                  <w:rStyle w:val="Forte"/>
                  <w:sz w:val="24"/>
                  <w:szCs w:val="24"/>
                </w:rPr>
                <w:t>Clique aqui</w:t>
              </w:r>
            </w:hyperlink>
            <w:r>
              <w:rPr>
                <w:sz w:val="24"/>
                <w:szCs w:val="24"/>
              </w:rPr>
              <w:t xml:space="preserve"> para acessar a íntegra da resposta da </w:t>
            </w:r>
            <w:r>
              <w:rPr>
                <w:rStyle w:val="Forte"/>
                <w:sz w:val="24"/>
                <w:szCs w:val="24"/>
              </w:rPr>
              <w:t>Consulta Tributária nº 22699/2020</w:t>
            </w:r>
            <w:r>
              <w:rPr>
                <w:sz w:val="24"/>
                <w:szCs w:val="24"/>
              </w:rPr>
              <w:t>, formulada pelo Sindusfarma à Sefaz/SP, em 19/11/2020.</w:t>
            </w:r>
          </w:p>
          <w:p w14:paraId="379C356C" w14:textId="77777777" w:rsidR="00984499" w:rsidRDefault="00984499">
            <w:pPr>
              <w:pStyle w:val="NormalWeb"/>
              <w:jc w:val="both"/>
              <w:rPr>
                <w:sz w:val="30"/>
                <w:szCs w:val="30"/>
              </w:rPr>
            </w:pPr>
            <w:hyperlink r:id="rId7" w:tgtFrame="_blank" w:history="1">
              <w:r>
                <w:rPr>
                  <w:rStyle w:val="Forte"/>
                  <w:sz w:val="24"/>
                  <w:szCs w:val="24"/>
                </w:rPr>
                <w:t>Clique aqui</w:t>
              </w:r>
            </w:hyperlink>
            <w:r>
              <w:rPr>
                <w:sz w:val="24"/>
                <w:szCs w:val="24"/>
              </w:rPr>
              <w:t xml:space="preserve"> para acessar a Nota Técnica elaborada pelo Escritório </w:t>
            </w:r>
            <w:proofErr w:type="spellStart"/>
            <w:r>
              <w:rPr>
                <w:sz w:val="24"/>
                <w:szCs w:val="24"/>
              </w:rPr>
              <w:t>Rayes</w:t>
            </w:r>
            <w:proofErr w:type="spellEnd"/>
            <w:r>
              <w:rPr>
                <w:sz w:val="24"/>
                <w:szCs w:val="24"/>
              </w:rPr>
              <w:t xml:space="preserve"> &amp; Fagundes Advogados Associados, a pedido do Sindusfarma.</w:t>
            </w:r>
          </w:p>
          <w:p w14:paraId="7EBA4473" w14:textId="77777777" w:rsidR="00984499" w:rsidRDefault="00984499">
            <w:pPr>
              <w:pStyle w:val="NormalWeb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Cordialmente,</w:t>
            </w:r>
          </w:p>
          <w:p w14:paraId="4AE0F646" w14:textId="77777777" w:rsidR="00984499" w:rsidRDefault="00984499">
            <w:pPr>
              <w:pStyle w:val="NormalWeb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Luiz Diório</w:t>
            </w:r>
          </w:p>
          <w:p w14:paraId="3354B711" w14:textId="77777777" w:rsidR="00984499" w:rsidRDefault="00984499">
            <w:pPr>
              <w:pStyle w:val="NormalWeb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Consultor</w:t>
            </w:r>
          </w:p>
          <w:p w14:paraId="53FFE6A2" w14:textId="77777777" w:rsidR="00984499" w:rsidRDefault="00984499">
            <w:pPr>
              <w:pStyle w:val="NormalWeb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Sindusfarma</w:t>
            </w:r>
          </w:p>
          <w:p w14:paraId="1B3FBE6E" w14:textId="77777777" w:rsidR="00984499" w:rsidRDefault="00984499">
            <w:pPr>
              <w:pStyle w:val="NormalWeb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Cel. (11) 99397-7000</w:t>
            </w:r>
          </w:p>
          <w:p w14:paraId="777932D0" w14:textId="77777777" w:rsidR="00984499" w:rsidRDefault="00984499">
            <w:pPr>
              <w:pStyle w:val="NormalWeb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984499" w14:paraId="352EAFA3" w14:textId="77777777" w:rsidTr="00F376EF">
        <w:trPr>
          <w:tblCellSpacing w:w="15" w:type="dxa"/>
          <w:jc w:val="center"/>
        </w:trPr>
        <w:tc>
          <w:tcPr>
            <w:tcW w:w="94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2B7B7" w14:textId="77777777" w:rsidR="00984499" w:rsidRDefault="00984499">
            <w:pPr>
              <w:rPr>
                <w:sz w:val="30"/>
                <w:szCs w:val="30"/>
              </w:rPr>
            </w:pPr>
          </w:p>
        </w:tc>
      </w:tr>
      <w:tr w:rsidR="00984499" w14:paraId="4988420F" w14:textId="77777777" w:rsidTr="00F376EF">
        <w:trPr>
          <w:tblCellSpacing w:w="15" w:type="dxa"/>
          <w:jc w:val="center"/>
        </w:trPr>
        <w:tc>
          <w:tcPr>
            <w:tcW w:w="943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4D6FB" w14:textId="51AB5E05" w:rsidR="00984499" w:rsidRDefault="00984499" w:rsidP="00F376EF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noProof/>
                <w:sz w:val="30"/>
                <w:szCs w:val="30"/>
              </w:rPr>
              <w:drawing>
                <wp:inline distT="0" distB="0" distL="0" distR="0" wp14:anchorId="00B24230" wp14:editId="6820E984">
                  <wp:extent cx="5400040" cy="2984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99" w14:paraId="691377FF" w14:textId="77777777" w:rsidTr="00F376EF">
        <w:trPr>
          <w:tblCellSpacing w:w="15" w:type="dxa"/>
          <w:jc w:val="center"/>
        </w:trPr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B225A" w14:textId="77777777" w:rsidR="00984499" w:rsidRDefault="00984499">
            <w:pPr>
              <w:rPr>
                <w:rFonts w:eastAsia="Times New Roman"/>
                <w:sz w:val="30"/>
                <w:szCs w:val="30"/>
              </w:rPr>
            </w:pPr>
            <w:r>
              <w:rPr>
                <w:rStyle w:val="Forte"/>
                <w:rFonts w:eastAsia="Times New Roman"/>
                <w:sz w:val="21"/>
                <w:szCs w:val="21"/>
              </w:rPr>
              <w:t xml:space="preserve">Responsável: Bruno Cesar Abreu - </w:t>
            </w:r>
            <w:proofErr w:type="gramStart"/>
            <w:r>
              <w:rPr>
                <w:rStyle w:val="Forte"/>
                <w:rFonts w:eastAsia="Times New Roman"/>
                <w:sz w:val="21"/>
                <w:szCs w:val="21"/>
              </w:rPr>
              <w:t>Tel.(</w:t>
            </w:r>
            <w:proofErr w:type="gramEnd"/>
            <w:r>
              <w:rPr>
                <w:rStyle w:val="Forte"/>
                <w:rFonts w:eastAsia="Times New Roman"/>
                <w:sz w:val="21"/>
                <w:szCs w:val="21"/>
              </w:rPr>
              <w:t>11) 3897-9779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</w:r>
            <w:r>
              <w:rPr>
                <w:rStyle w:val="Forte"/>
                <w:rFonts w:eastAsia="Times New Roman"/>
                <w:sz w:val="21"/>
                <w:szCs w:val="21"/>
              </w:rPr>
              <w:t xml:space="preserve">E-mail: </w:t>
            </w:r>
            <w:hyperlink r:id="rId9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bruno@sindusfarma.org.br</w:t>
              </w:r>
            </w:hyperlink>
            <w:r>
              <w:rPr>
                <w:rStyle w:val="Forte"/>
                <w:rFonts w:eastAsia="Times New Roman"/>
                <w:sz w:val="21"/>
                <w:szCs w:val="21"/>
              </w:rPr>
              <w:t xml:space="preserve"> - sindusfarma.org.br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1958F" w14:textId="77777777" w:rsidR="00984499" w:rsidRDefault="00984499">
            <w:pPr>
              <w:jc w:val="right"/>
              <w:rPr>
                <w:rFonts w:eastAsia="Times New Roman"/>
                <w:sz w:val="30"/>
                <w:szCs w:val="30"/>
              </w:rPr>
            </w:pPr>
            <w:r>
              <w:rPr>
                <w:rStyle w:val="Forte"/>
                <w:rFonts w:eastAsia="Times New Roman"/>
                <w:sz w:val="21"/>
                <w:szCs w:val="21"/>
              </w:rPr>
              <w:t>Rua Alvorada, 1.280 - Vila Olímpia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</w:r>
            <w:r>
              <w:rPr>
                <w:rStyle w:val="Forte"/>
                <w:rFonts w:eastAsia="Times New Roman"/>
                <w:sz w:val="21"/>
                <w:szCs w:val="21"/>
              </w:rPr>
              <w:t>São Paulo/SP - CEP 04550-004</w:t>
            </w:r>
          </w:p>
        </w:tc>
      </w:tr>
    </w:tbl>
    <w:p w14:paraId="67AFB833" w14:textId="77777777" w:rsidR="00323B82" w:rsidRDefault="00F376EF"/>
    <w:sectPr w:rsidR="00323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78A6"/>
    <w:multiLevelType w:val="multilevel"/>
    <w:tmpl w:val="AA8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52182"/>
    <w:multiLevelType w:val="multilevel"/>
    <w:tmpl w:val="76A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99"/>
    <w:rsid w:val="00984499"/>
    <w:rsid w:val="00CD531F"/>
    <w:rsid w:val="00F376EF"/>
    <w:rsid w:val="00F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D751"/>
  <w15:chartTrackingRefBased/>
  <w15:docId w15:val="{656D7BD2-D00F-45AA-BB51-12713637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99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4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44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mrx93rs.r.us-east-1.awstrack.me/L0/https:%2F%2Fsindusfarma.org.br%2Fuploads%2Ffiles%2F3b7c-regina-castellao%2FSINDUSFARMA_Nota_T%25C3%25A9cnica_Respo.pdf/1/0100017b3f418276-1fb6f14d-9ec4-40a8-a2ec-ae6448d7fe88-000000/x4ECG9p6Gzd70AKqVXX1HDHGOW8=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rx93rs.r.us-east-1.awstrack.me/L0/https:%2F%2Fsindusfarma.org.br%2Fuploads%2Ffiles%2F3b7c-regina-castellao%2FSINDUSFARMA_Resposta_SEFAZ_Con.pdf/1/0100017b3f418276-1fb6f14d-9ec4-40a8-a2ec-ae6448d7fe88-000000/JaiUQaWdVNF7She2BhQwgU3uqQY=2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uno@sindusfarma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Castellão</dc:creator>
  <cp:keywords/>
  <dc:description/>
  <cp:lastModifiedBy>Regina Castellão</cp:lastModifiedBy>
  <cp:revision>2</cp:revision>
  <dcterms:created xsi:type="dcterms:W3CDTF">2021-08-13T12:19:00Z</dcterms:created>
  <dcterms:modified xsi:type="dcterms:W3CDTF">2021-08-13T12:21:00Z</dcterms:modified>
</cp:coreProperties>
</file>